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textAlignment w:val="baseline"/>
        <w:rPr>
          <w:rFonts w:hint="eastAsia" w:ascii="Times New Roman" w:hAnsi="Times New Roman" w:eastAsia="方正仿宋_GBK" w:cs="Times New Roman"/>
          <w:szCs w:val="32"/>
          <w:lang w:val="en-US" w:eastAsia="zh-CN"/>
        </w:rPr>
      </w:pPr>
      <w:r>
        <w:rPr>
          <w:rFonts w:hint="eastAsia" w:ascii="方正黑体_GBK" w:hAnsi="方正黑体_GBK" w:eastAsia="方正黑体_GBK" w:cs="方正黑体_GBK"/>
        </w:rPr>
        <mc:AlternateContent>
          <mc:Choice Requires="wpg">
            <w:drawing>
              <wp:anchor distT="0" distB="0" distL="114300" distR="114300" simplePos="0" relativeHeight="251659264" behindDoc="0" locked="0" layoutInCell="1" allowOverlap="1">
                <wp:simplePos x="0" y="0"/>
                <wp:positionH relativeFrom="column">
                  <wp:posOffset>735330</wp:posOffset>
                </wp:positionH>
                <wp:positionV relativeFrom="paragraph">
                  <wp:posOffset>9961880</wp:posOffset>
                </wp:positionV>
                <wp:extent cx="6120130" cy="36195"/>
                <wp:effectExtent l="0" t="6350" r="13970" b="14605"/>
                <wp:wrapNone/>
                <wp:docPr id="3" name="组合 3"/>
                <wp:cNvGraphicFramePr/>
                <a:graphic xmlns:a="http://schemas.openxmlformats.org/drawingml/2006/main">
                  <a:graphicData uri="http://schemas.microsoft.com/office/word/2010/wordprocessingGroup">
                    <wpg:wgp>
                      <wpg:cNvGrpSpPr/>
                      <wpg:grpSpPr>
                        <a:xfrm>
                          <a:off x="0" y="0"/>
                          <a:ext cx="6120130" cy="36195"/>
                          <a:chOff x="1134" y="15706"/>
                          <a:chExt cx="9638" cy="57"/>
                        </a:xfrm>
                      </wpg:grpSpPr>
                      <wps:wsp>
                        <wps:cNvPr id="1" name="直接连接符 1"/>
                        <wps:cNvSpPr/>
                        <wps:spPr>
                          <a:xfrm>
                            <a:off x="1134" y="15763"/>
                            <a:ext cx="9638" cy="0"/>
                          </a:xfrm>
                          <a:prstGeom prst="line">
                            <a:avLst/>
                          </a:prstGeom>
                          <a:ln w="28575" cap="flat" cmpd="sng">
                            <a:solidFill>
                              <a:srgbClr val="FF0000"/>
                            </a:solidFill>
                            <a:prstDash val="solid"/>
                            <a:headEnd type="none" w="med" len="med"/>
                            <a:tailEnd type="none" w="med" len="med"/>
                          </a:ln>
                        </wps:spPr>
                        <wps:bodyPr upright="1"/>
                      </wps:wsp>
                      <wps:wsp>
                        <wps:cNvPr id="2" name="直接连接符 2"/>
                        <wps:cNvSpPr/>
                        <wps:spPr>
                          <a:xfrm>
                            <a:off x="1134" y="15706"/>
                            <a:ext cx="9638" cy="0"/>
                          </a:xfrm>
                          <a:prstGeom prst="line">
                            <a:avLst/>
                          </a:prstGeom>
                          <a:ln w="127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7.9pt;margin-top:784.4pt;height:2.85pt;width:481.9pt;z-index:251659264;mso-width-relative:page;mso-height-relative:page;" coordorigin="1134,15706" coordsize="9638,57" o:gfxdata="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bvKFhtsAAAAO&#10;AQAADwAAAAAAAAABACAAAAAiAAAAZHJzL2Rvd25yZXYueG1sUEsBAhQAFAAAAAgAh07iQIdRbM+L&#10;AgAAIgcAAA4AAAAAAAAAAQAgAAAAKgEAAGRycy9lMm9Eb2MueG1sUEsFBgAAAAAGAAYAWQEAACcG&#10;AAAAAA==&#10;">
                <o:lock v:ext="edit" aspectratio="f"/>
                <v:line id="_x0000_s1026" o:spid="_x0000_s1026" o:spt="20" style="position:absolute;left:1134;top:15763;height:0;width:9638;" filled="f" stroked="t" coordsize="21600,21600" o:gfxdata="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5/Nbu5AAAA2gAA&#10;AA8AAAAAAAAAAQAgAAAAIgAAAGRycy9kb3ducmV2LnhtbFBLAQIUABQAAAAIAIdO4kAzLwWeOwAA&#10;ADkAAAAQAAAAAAAAAAEAIAAAAAgBAABkcnMvc2hhcGV4bWwueG1sUEsFBgAAAAAGAAYAWwEAALID&#10;AAAAAA==&#10;">
                  <v:fill on="f" focussize="0,0"/>
                  <v:stroke weight="2.25pt" color="#FF0000" joinstyle="round"/>
                  <v:imagedata o:title=""/>
                  <o:lock v:ext="edit" aspectratio="f"/>
                </v:line>
                <v:line id="_x0000_s1026" o:spid="_x0000_s1026" o:spt="20" style="position:absolute;left:1134;top:15706;height:0;width:9638;" filled="f" stroked="t" coordsize="21600,21600" o:gfxdata="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RbDb4A&#10;AADaAAAADwAAAAAAAAABACAAAAAiAAAAZHJzL2Rvd25yZXYueG1sUEsBAhQAFAAAAAgAh07iQDMv&#10;BZ47AAAAOQAAABAAAAAAAAAAAQAgAAAADQEAAGRycy9zaGFwZXhtbC54bWxQSwUGAAAAAAYABgBb&#10;AQAAtwMAAAAA&#10;">
                  <v:fill on="f" focussize="0,0"/>
                  <v:stroke weight="1pt" color="#FF0000" joinstyle="round"/>
                  <v:imagedata o:title=""/>
                  <o:lock v:ext="edit" aspectratio="f"/>
                </v:line>
              </v:group>
            </w:pict>
          </mc:Fallback>
        </mc:AlternateContent>
      </w:r>
      <w:r>
        <w:rPr>
          <w:rFonts w:hint="eastAsia" w:ascii="方正黑体_GBK" w:hAnsi="方正黑体_GBK" w:eastAsia="方正黑体_GBK" w:cs="方正黑体_GBK"/>
          <w:szCs w:val="32"/>
          <w:lang w:val="en-US" w:eastAsia="zh-CN"/>
        </w:rPr>
        <w:t>附件</w:t>
      </w:r>
      <w:r>
        <w:rPr>
          <w:rFonts w:hint="eastAsia" w:ascii="Times New Roman" w:hAnsi="Times New Roman" w:eastAsia="方正仿宋_GBK" w:cs="Times New Roman"/>
          <w:szCs w:val="32"/>
          <w:lang w:val="en-US" w:eastAsia="zh-CN"/>
        </w:rPr>
        <w:t>3</w:t>
      </w:r>
    </w:p>
    <w:p>
      <w:pPr>
        <w:spacing w:line="600" w:lineRule="exact"/>
        <w:ind w:firstLine="0" w:firstLineChars="0"/>
        <w:jc w:val="center"/>
        <w:textAlignment w:val="baseline"/>
        <w:rPr>
          <w:rFonts w:hint="eastAsia" w:ascii="方正小标宋_GBK" w:hAnsi="方正小标宋_GBK" w:eastAsia="方正小标宋_GBK" w:cs="方正小标宋_GBK"/>
          <w:i w:val="0"/>
          <w:iCs w:val="0"/>
          <w:kern w:val="2"/>
          <w:sz w:val="44"/>
          <w:szCs w:val="44"/>
          <w:u w:val="none"/>
          <w:lang w:val="en-US" w:eastAsia="zh-CN" w:bidi="ar"/>
        </w:rPr>
      </w:pPr>
      <w:bookmarkStart w:id="0" w:name="_GoBack"/>
      <w:r>
        <w:rPr>
          <w:rFonts w:hint="eastAsia" w:ascii="方正小标宋_GBK" w:hAnsi="方正小标宋_GBK" w:eastAsia="方正小标宋_GBK" w:cs="方正小标宋_GBK"/>
          <w:i w:val="0"/>
          <w:iCs w:val="0"/>
          <w:kern w:val="2"/>
          <w:sz w:val="44"/>
          <w:szCs w:val="44"/>
          <w:u w:val="none"/>
          <w:lang w:val="en-US" w:eastAsia="zh-CN" w:bidi="ar"/>
        </w:rPr>
        <w:t>广州市“食在广州”评价认证评分表</w:t>
      </w:r>
    </w:p>
    <w:p>
      <w:pPr>
        <w:spacing w:line="600" w:lineRule="exact"/>
        <w:ind w:firstLine="0" w:firstLineChars="0"/>
        <w:jc w:val="center"/>
        <w:textAlignment w:val="baseline"/>
        <w:rPr>
          <w:rFonts w:hint="eastAsia" w:ascii="方正楷体_GBK" w:hAnsi="方正楷体_GBK" w:eastAsia="方正楷体_GBK" w:cs="方正楷体_GBK"/>
          <w:i w:val="0"/>
          <w:iCs w:val="0"/>
          <w:kern w:val="2"/>
          <w:sz w:val="32"/>
          <w:szCs w:val="32"/>
          <w:u w:val="none"/>
          <w:lang w:val="en-US" w:eastAsia="zh-CN" w:bidi="ar"/>
        </w:rPr>
      </w:pPr>
      <w:r>
        <w:rPr>
          <w:rFonts w:hint="eastAsia" w:ascii="方正楷体_GBK" w:hAnsi="方正楷体_GBK" w:eastAsia="方正楷体_GBK" w:cs="方正楷体_GBK"/>
          <w:i w:val="0"/>
          <w:iCs w:val="0"/>
          <w:kern w:val="2"/>
          <w:sz w:val="32"/>
          <w:szCs w:val="32"/>
          <w:u w:val="none"/>
          <w:lang w:val="en-US" w:eastAsia="zh-CN" w:bidi="ar"/>
        </w:rPr>
        <w:t>（餐饮服务类）</w:t>
      </w:r>
    </w:p>
    <w:bookmarkEnd w:id="0"/>
    <w:tbl>
      <w:tblPr>
        <w:tblStyle w:val="2"/>
        <w:tblW w:w="14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842"/>
        <w:gridCol w:w="8040"/>
        <w:gridCol w:w="1120"/>
        <w:gridCol w:w="14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4102" w:type="dxa"/>
            <w:gridSpan w:val="5"/>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sz w:val="21"/>
                <w:szCs w:val="21"/>
                <w:lang w:val="en-US" w:eastAsia="zh-CN" w:bidi="ar"/>
              </w:rPr>
              <w:t>一、市场反馈及消费者综合评价（600分）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shd w:val="clear" w:color="auto" w:fill="FFFFFF"/>
            <w:noWrap w:val="0"/>
            <w:vAlign w:val="center"/>
          </w:tcPr>
          <w:p>
            <w:pPr>
              <w:keepNext w:val="0"/>
              <w:keepLines w:val="0"/>
              <w:widowControl/>
              <w:suppressLineNumbers w:val="0"/>
              <w:jc w:val="center"/>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sz w:val="21"/>
                <w:szCs w:val="21"/>
                <w:lang w:val="en-US" w:eastAsia="zh-CN" w:bidi="ar"/>
              </w:rPr>
              <w:t>条款</w:t>
            </w:r>
          </w:p>
        </w:tc>
        <w:tc>
          <w:tcPr>
            <w:tcW w:w="8040" w:type="dxa"/>
            <w:shd w:val="clear" w:color="auto" w:fill="FFFFFF"/>
            <w:noWrap w:val="0"/>
            <w:vAlign w:val="center"/>
          </w:tcPr>
          <w:p>
            <w:pPr>
              <w:keepNext w:val="0"/>
              <w:keepLines w:val="0"/>
              <w:widowControl/>
              <w:suppressLineNumbers w:val="0"/>
              <w:jc w:val="center"/>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sz w:val="21"/>
                <w:szCs w:val="21"/>
                <w:lang w:val="en-US" w:eastAsia="zh-CN" w:bidi="ar"/>
              </w:rPr>
              <w:t>评价内容</w:t>
            </w:r>
          </w:p>
        </w:tc>
        <w:tc>
          <w:tcPr>
            <w:tcW w:w="1120" w:type="dxa"/>
            <w:shd w:val="clear" w:color="auto" w:fill="FFFFFF"/>
            <w:noWrap w:val="0"/>
            <w:vAlign w:val="center"/>
          </w:tcPr>
          <w:p>
            <w:pPr>
              <w:keepNext w:val="0"/>
              <w:keepLines w:val="0"/>
              <w:widowControl/>
              <w:suppressLineNumbers w:val="0"/>
              <w:jc w:val="center"/>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b w:val="0"/>
                <w:bCs w:val="0"/>
                <w:i w:val="0"/>
                <w:iCs w:val="0"/>
                <w:kern w:val="2"/>
                <w:sz w:val="21"/>
                <w:szCs w:val="21"/>
                <w:u w:val="none"/>
                <w:lang w:val="en-US" w:eastAsia="zh-CN" w:bidi="ar"/>
              </w:rPr>
              <w:t>分值</w:t>
            </w:r>
          </w:p>
        </w:tc>
        <w:tc>
          <w:tcPr>
            <w:tcW w:w="1400" w:type="dxa"/>
            <w:shd w:val="clear" w:color="auto" w:fill="FFFFFF"/>
            <w:noWrap w:val="0"/>
            <w:vAlign w:val="center"/>
          </w:tcPr>
          <w:p>
            <w:pPr>
              <w:keepNext w:val="0"/>
              <w:keepLines w:val="0"/>
              <w:widowControl/>
              <w:suppressLineNumbers w:val="0"/>
              <w:jc w:val="center"/>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sz w:val="21"/>
                <w:szCs w:val="21"/>
                <w:lang w:val="en-US" w:eastAsia="zh-CN" w:bidi="ar"/>
              </w:rPr>
              <w:t>评价得分</w:t>
            </w:r>
          </w:p>
        </w:tc>
        <w:tc>
          <w:tcPr>
            <w:tcW w:w="1700" w:type="dxa"/>
            <w:shd w:val="clear" w:color="auto" w:fill="FFFFFF"/>
            <w:noWrap w:val="0"/>
            <w:vAlign w:val="center"/>
          </w:tcPr>
          <w:p>
            <w:pPr>
              <w:keepNext w:val="0"/>
              <w:keepLines w:val="0"/>
              <w:widowControl/>
              <w:suppressLineNumbers w:val="0"/>
              <w:jc w:val="center"/>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sz w:val="21"/>
                <w:szCs w:val="21"/>
                <w:lang w:val="en-US" w:eastAsia="zh-CN" w:bidi="ar"/>
              </w:rPr>
              <w:t>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37" w:hRule="atLeast"/>
          <w:jc w:val="center"/>
        </w:trPr>
        <w:tc>
          <w:tcPr>
            <w:tcW w:w="1842"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1.1 互联网平台消费者评价（450</w:t>
            </w:r>
            <w:r>
              <w:rPr>
                <w:rFonts w:hint="eastAsia" w:ascii="Times New Roman" w:hAnsi="Times New Roman" w:eastAsia="方正仿宋_GBK" w:cs="Times New Roman"/>
                <w:i w:val="0"/>
                <w:iCs w:val="0"/>
                <w:kern w:val="2"/>
                <w:sz w:val="21"/>
                <w:szCs w:val="21"/>
                <w:u w:val="none"/>
                <w:lang w:val="en-US" w:eastAsia="zh-CN" w:bidi="ar"/>
              </w:rPr>
              <w:t>分</w:t>
            </w:r>
            <w:r>
              <w:rPr>
                <w:rFonts w:hint="default" w:ascii="Times New Roman" w:hAnsi="Times New Roman" w:eastAsia="方正仿宋_GBK" w:cs="Times New Roman"/>
                <w:i w:val="0"/>
                <w:iCs w:val="0"/>
                <w:kern w:val="2"/>
                <w:sz w:val="21"/>
                <w:szCs w:val="21"/>
                <w:u w:val="none"/>
                <w:lang w:val="en-US" w:eastAsia="zh-CN" w:bidi="ar"/>
              </w:rPr>
              <w:t>）</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1.1.1 通过主流的餐饮消费点评网络平台收集餐饮单位近三年的消费者评价及反馈情况，综合各平台整体评价情况进行加权评分。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1.1.2 网络平台应确保数据真实准确、来源可靠，如发现并证实餐饮单位恶意刷分、雇佣水军等情况，应及时上报，评审组视情节严重情况给予综合扣分。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450</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90" w:hRule="atLeast"/>
          <w:jc w:val="center"/>
        </w:trPr>
        <w:tc>
          <w:tcPr>
            <w:tcW w:w="1842"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1.2 消费者投诉（12315、12345热线）（150分）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通过政府官方渠道收集消费者对餐饮单位近三年的投诉维权案例，综合餐饮单位对投诉案件的处理效率及处理情况进行评分。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150</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4102" w:type="dxa"/>
            <w:gridSpan w:val="5"/>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b w:val="0"/>
                <w:bCs w:val="0"/>
                <w:i w:val="0"/>
                <w:iCs w:val="0"/>
                <w:kern w:val="2"/>
                <w:sz w:val="21"/>
                <w:szCs w:val="21"/>
                <w:u w:val="none"/>
                <w:lang w:val="en-US" w:eastAsia="zh-CN" w:bidi="ar"/>
              </w:rPr>
              <w:t>二、食品安全管理体系（200分）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shd w:val="clear" w:color="auto" w:fill="FFFFFF"/>
            <w:noWrap w:val="0"/>
            <w:vAlign w:val="center"/>
          </w:tcPr>
          <w:p>
            <w:pPr>
              <w:keepNext w:val="0"/>
              <w:keepLines w:val="0"/>
              <w:widowControl/>
              <w:suppressLineNumbers w:val="0"/>
              <w:jc w:val="center"/>
              <w:textAlignment w:val="auto"/>
              <w:rPr>
                <w:rFonts w:hint="default" w:ascii="Times New Roman" w:hAnsi="Times New Roman" w:eastAsia="方正仿宋_GBK" w:cs="Times New Roman"/>
                <w:b w:val="0"/>
                <w:bCs w:val="0"/>
                <w:i w:val="0"/>
                <w:iCs w:val="0"/>
                <w:kern w:val="2"/>
                <w:sz w:val="21"/>
                <w:szCs w:val="21"/>
                <w:u w:val="none"/>
                <w:lang w:val="en-US" w:eastAsia="zh-CN" w:bidi="ar"/>
              </w:rPr>
            </w:pPr>
            <w:r>
              <w:rPr>
                <w:rFonts w:hint="default" w:ascii="Times New Roman" w:hAnsi="Times New Roman" w:eastAsia="方正仿宋_GBK" w:cs="Times New Roman"/>
                <w:sz w:val="21"/>
                <w:szCs w:val="21"/>
                <w:lang w:val="en-US" w:eastAsia="zh-CN" w:bidi="ar"/>
              </w:rPr>
              <w:t>条款</w:t>
            </w:r>
          </w:p>
        </w:tc>
        <w:tc>
          <w:tcPr>
            <w:tcW w:w="8040" w:type="dxa"/>
            <w:shd w:val="clear" w:color="auto" w:fill="FFFFFF"/>
            <w:noWrap w:val="0"/>
            <w:vAlign w:val="center"/>
          </w:tcPr>
          <w:p>
            <w:pPr>
              <w:keepNext w:val="0"/>
              <w:keepLines w:val="0"/>
              <w:widowControl/>
              <w:suppressLineNumbers w:val="0"/>
              <w:jc w:val="center"/>
              <w:textAlignment w:val="auto"/>
              <w:rPr>
                <w:rFonts w:hint="default" w:ascii="Times New Roman" w:hAnsi="Times New Roman" w:eastAsia="方正仿宋_GBK" w:cs="Times New Roman"/>
                <w:b w:val="0"/>
                <w:bCs w:val="0"/>
                <w:i w:val="0"/>
                <w:iCs w:val="0"/>
                <w:kern w:val="2"/>
                <w:sz w:val="21"/>
                <w:szCs w:val="21"/>
                <w:u w:val="none"/>
                <w:lang w:val="en-US" w:eastAsia="zh-CN" w:bidi="ar"/>
              </w:rPr>
            </w:pPr>
            <w:r>
              <w:rPr>
                <w:rFonts w:hint="default" w:ascii="Times New Roman" w:hAnsi="Times New Roman" w:eastAsia="方正仿宋_GBK" w:cs="Times New Roman"/>
                <w:sz w:val="21"/>
                <w:szCs w:val="21"/>
                <w:lang w:val="en-US" w:eastAsia="zh-CN" w:bidi="ar"/>
              </w:rPr>
              <w:t>评价内容</w:t>
            </w:r>
          </w:p>
        </w:tc>
        <w:tc>
          <w:tcPr>
            <w:tcW w:w="1120" w:type="dxa"/>
            <w:shd w:val="clear" w:color="auto" w:fill="FFFFFF"/>
            <w:noWrap w:val="0"/>
            <w:vAlign w:val="center"/>
          </w:tcPr>
          <w:p>
            <w:pPr>
              <w:keepNext w:val="0"/>
              <w:keepLines w:val="0"/>
              <w:widowControl/>
              <w:suppressLineNumbers w:val="0"/>
              <w:jc w:val="center"/>
              <w:textAlignment w:val="auto"/>
              <w:rPr>
                <w:rFonts w:hint="default" w:ascii="Times New Roman" w:hAnsi="Times New Roman" w:eastAsia="方正仿宋_GBK" w:cs="Times New Roman"/>
                <w:b w:val="0"/>
                <w:bCs w:val="0"/>
                <w:i w:val="0"/>
                <w:iCs w:val="0"/>
                <w:kern w:val="2"/>
                <w:sz w:val="21"/>
                <w:szCs w:val="21"/>
                <w:u w:val="none"/>
                <w:lang w:val="en-US" w:eastAsia="zh-CN" w:bidi="ar"/>
              </w:rPr>
            </w:pPr>
            <w:r>
              <w:rPr>
                <w:rFonts w:hint="default" w:ascii="Times New Roman" w:hAnsi="Times New Roman" w:eastAsia="方正仿宋_GBK" w:cs="Times New Roman"/>
                <w:b w:val="0"/>
                <w:bCs w:val="0"/>
                <w:i w:val="0"/>
                <w:iCs w:val="0"/>
                <w:kern w:val="2"/>
                <w:sz w:val="21"/>
                <w:szCs w:val="21"/>
                <w:u w:val="none"/>
                <w:lang w:val="en-US" w:eastAsia="zh-CN" w:bidi="ar"/>
              </w:rPr>
              <w:t>分值</w:t>
            </w:r>
          </w:p>
        </w:tc>
        <w:tc>
          <w:tcPr>
            <w:tcW w:w="1400" w:type="dxa"/>
            <w:shd w:val="clear" w:color="auto" w:fill="FFFFFF"/>
            <w:noWrap w:val="0"/>
            <w:vAlign w:val="center"/>
          </w:tcPr>
          <w:p>
            <w:pPr>
              <w:keepNext w:val="0"/>
              <w:keepLines w:val="0"/>
              <w:widowControl/>
              <w:suppressLineNumbers w:val="0"/>
              <w:jc w:val="center"/>
              <w:textAlignment w:val="auto"/>
              <w:rPr>
                <w:rFonts w:hint="default" w:ascii="Times New Roman" w:hAnsi="Times New Roman" w:eastAsia="方正仿宋_GBK" w:cs="Times New Roman"/>
                <w:b w:val="0"/>
                <w:bCs w:val="0"/>
                <w:i w:val="0"/>
                <w:iCs w:val="0"/>
                <w:kern w:val="2"/>
                <w:sz w:val="21"/>
                <w:szCs w:val="21"/>
                <w:u w:val="none"/>
                <w:lang w:val="en-US" w:eastAsia="zh-CN" w:bidi="ar"/>
              </w:rPr>
            </w:pPr>
            <w:r>
              <w:rPr>
                <w:rFonts w:hint="default" w:ascii="Times New Roman" w:hAnsi="Times New Roman" w:eastAsia="方正仿宋_GBK" w:cs="Times New Roman"/>
                <w:sz w:val="21"/>
                <w:szCs w:val="21"/>
                <w:lang w:val="en-US" w:eastAsia="zh-CN" w:bidi="ar"/>
              </w:rPr>
              <w:t>评价得分</w:t>
            </w:r>
          </w:p>
        </w:tc>
        <w:tc>
          <w:tcPr>
            <w:tcW w:w="1700" w:type="dxa"/>
            <w:shd w:val="clear" w:color="auto" w:fill="FFFFFF"/>
            <w:noWrap w:val="0"/>
            <w:vAlign w:val="center"/>
          </w:tcPr>
          <w:p>
            <w:pPr>
              <w:keepNext w:val="0"/>
              <w:keepLines w:val="0"/>
              <w:widowControl/>
              <w:suppressLineNumbers w:val="0"/>
              <w:jc w:val="center"/>
              <w:textAlignment w:val="auto"/>
              <w:rPr>
                <w:rFonts w:hint="default" w:ascii="Times New Roman" w:hAnsi="Times New Roman" w:eastAsia="方正仿宋_GBK" w:cs="Times New Roman"/>
                <w:b w:val="0"/>
                <w:bCs w:val="0"/>
                <w:i w:val="0"/>
                <w:iCs w:val="0"/>
                <w:kern w:val="2"/>
                <w:sz w:val="21"/>
                <w:szCs w:val="21"/>
                <w:u w:val="none"/>
                <w:lang w:val="en-US" w:eastAsia="zh-CN" w:bidi="ar"/>
              </w:rPr>
            </w:pPr>
            <w:r>
              <w:rPr>
                <w:rFonts w:hint="default" w:ascii="Times New Roman" w:hAnsi="Times New Roman" w:eastAsia="方正仿宋_GBK" w:cs="Times New Roman"/>
                <w:sz w:val="21"/>
                <w:szCs w:val="21"/>
                <w:lang w:val="en-US" w:eastAsia="zh-CN" w:bidi="ar"/>
              </w:rPr>
              <w:t>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4102" w:type="dxa"/>
            <w:gridSpan w:val="5"/>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eastAsia"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sz w:val="21"/>
                <w:szCs w:val="21"/>
                <w:lang w:val="en-US" w:eastAsia="zh-CN" w:bidi="ar"/>
              </w:rPr>
              <w:t>1总体要求（12分）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2.1.1 总要求（5分）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2.1.1.1 应建立基于危害分析和关键控制点（HACCP）原理的食品安全管理体系，并形成必要的管理体系文件作为体系运行的支撑。</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2.1.1.2 管理体系文件应包括但不限于：手册、程序文件、管理制度、运行记录表单等。</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2.1.2 文件要求（4分）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2.1.2.1 应编制文件管理与控制相关管理制度，对本单位及外来文件（如法律法规、标准等）进行有效管理，确保所使用的文件均为有效版本。</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2.1.2.2 应能清楚的识别文件及文件的修订状态。</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2.1.2.3 文件发布前应得到批准，确保文件是充分、适宜的和有效的。</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2.1.3 记录控制（3分）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2.1.3.1 应建立记录控制程序，明确记录的标识、贮存、保护、检索、保存期限和处置所需的控制。</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47"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2.1.3.2 餐饮单位应确保记录的清晰、完整、可追溯，保存期限应满足以下要求：</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—进货查验记录和相关凭证的保存期限不得少于产品保质期满后6个月；</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—没有明确保质期的，保存期限不得少于2年；</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—其他各项记录保存期限宜为2年。</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4102" w:type="dxa"/>
            <w:gridSpan w:val="5"/>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sz w:val="21"/>
                <w:szCs w:val="21"/>
                <w:lang w:val="en-US" w:eastAsia="zh-CN" w:bidi="ar"/>
              </w:rPr>
              <w:t>2.</w:t>
            </w:r>
            <w:r>
              <w:rPr>
                <w:rFonts w:hint="eastAsia"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sz w:val="21"/>
                <w:szCs w:val="21"/>
                <w:lang w:val="en-US" w:eastAsia="zh-CN" w:bidi="ar"/>
              </w:rPr>
              <w:t>食品安全方针和目标（6分）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2.2.1 方针/目标（3分）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最高管理者应制定、颁发食品安全方针和目标。</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2.2.2 监视、测量</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与分析（3分）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方针和目标内容应与食品安全要求相符</w:t>
            </w:r>
            <w:r>
              <w:rPr>
                <w:rFonts w:hint="eastAsia"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sz w:val="21"/>
                <w:szCs w:val="21"/>
                <w:lang w:val="en-US" w:eastAsia="zh-CN" w:bidi="ar"/>
              </w:rPr>
              <w:t>应定期监视和测量目标的达成情况。</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4102" w:type="dxa"/>
            <w:gridSpan w:val="5"/>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eastAsia"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sz w:val="21"/>
                <w:szCs w:val="21"/>
                <w:lang w:val="en-US" w:eastAsia="zh-CN" w:bidi="ar"/>
              </w:rPr>
              <w:t>3主体责任（10分）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0" w:hRule="atLeast"/>
          <w:jc w:val="center"/>
        </w:trPr>
        <w:tc>
          <w:tcPr>
            <w:tcW w:w="1842"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2.3.1食品安全主体责任（10分）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餐饮单位应积极落实食品安全主体责任制度，主动承担食品安全主体责任，提供安全卫生的餐饮服务，包括但不限于以下：</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—餐饮经营现场醒目位置悬挂食品安全总监、食品安全员证照或复印件；（3分）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—加贴食品安全承诺标语或签署诚信经营承诺书；（2分）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—在经营场所醒目位置公示营业执照、食品经营许可证、日常监督检查结果记录表、公示从事接触直接入口食品工作从业人员的健康证明等需公示的证件/资料等。（5分）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10</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4102" w:type="dxa"/>
            <w:gridSpan w:val="5"/>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eastAsia"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sz w:val="21"/>
                <w:szCs w:val="21"/>
                <w:lang w:val="en-US" w:eastAsia="zh-CN" w:bidi="ar"/>
              </w:rPr>
              <w:t>4人力资源（12分）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2.4.1 能力、意识和培训(12分）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2.4.1.1 应建立人力资源相关管理制度，明确各岗位员工能力及工作职责要求，确保全员参与，从业人员应熟知其在食品安全管理方面的权利与义务。</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04"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2.4.1.2 应建立从业人员培训制度，制定培训计划，为从业人员提供持续的培训，培训内容包括但不限于以下：</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—专业技术知识及操作技能；</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—食品安全有关法律法规；</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—卫生知识；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—消防安全、劳动安全、食品安全等知识。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2.4.1.3 所有新入职员工均应经过培训及考核，确保人员经考核合格后方可上岗。</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2.4.1.4 应对所有员工进行定期培训，每年至少一次食品安全培训考核。</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2.4.1.5 当食品安全相关法律法规标准更新时，应及时开展培训。</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2.4.1.6 企业应保留人员教育、培训、技能和考核相关记录。</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2.4.2 食品安全小组（8分）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2.4.2.1 应设置从事食品安全管理的专门机构，并配备足够数量的专（兼）职食品安全管理人员，食品安全管理人员应按规定参加食品安全培训。</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2.4.2.2 评审组现场随机抽取食品安全管理人员考核食品安全知识，结果应符合要求。</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4102" w:type="dxa"/>
            <w:gridSpan w:val="5"/>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eastAsia" w:ascii="Times New Roman" w:hAnsi="Times New Roman" w:eastAsia="方正仿宋_GBK" w:cs="Times New Roman"/>
                <w:b w:val="0"/>
                <w:bCs w:val="0"/>
                <w:i w:val="0"/>
                <w:iCs w:val="0"/>
                <w:kern w:val="2"/>
                <w:sz w:val="21"/>
                <w:szCs w:val="21"/>
                <w:u w:val="none"/>
                <w:lang w:val="en-US" w:eastAsia="zh-CN" w:bidi="ar"/>
              </w:rPr>
              <w:t>2.</w:t>
            </w:r>
            <w:r>
              <w:rPr>
                <w:rFonts w:hint="default" w:ascii="Times New Roman" w:hAnsi="Times New Roman" w:eastAsia="方正仿宋_GBK" w:cs="Times New Roman"/>
                <w:b w:val="0"/>
                <w:bCs w:val="0"/>
                <w:i w:val="0"/>
                <w:iCs w:val="0"/>
                <w:kern w:val="2"/>
                <w:sz w:val="21"/>
                <w:szCs w:val="21"/>
                <w:u w:val="none"/>
                <w:lang w:val="en-US" w:eastAsia="zh-CN" w:bidi="ar"/>
              </w:rPr>
              <w:t>5 危害分析及控制（20分）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2.5.1 关键控制点的识别和评估</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2.5.1.1 食品安全小组应对本单位食品安全管理体系范围内可能出现的潜在危害进行识别与评估，确定关键控制点（CCP），并保留识别与评估过程的相关证据。</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10</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2.5.1.2 应为所确定的CCP制定适宜充分的控制措施，确保能将相应的危害控制在可接受水平。</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10</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4102" w:type="dxa"/>
            <w:gridSpan w:val="5"/>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eastAsia" w:ascii="Times New Roman" w:hAnsi="Times New Roman" w:eastAsia="方正仿宋_GBK" w:cs="Times New Roman"/>
                <w:b w:val="0"/>
                <w:bCs w:val="0"/>
                <w:i w:val="0"/>
                <w:iCs w:val="0"/>
                <w:kern w:val="2"/>
                <w:sz w:val="21"/>
                <w:szCs w:val="21"/>
                <w:u w:val="none"/>
                <w:lang w:val="en-US" w:eastAsia="zh-CN" w:bidi="ar"/>
              </w:rPr>
              <w:t>2.</w:t>
            </w:r>
            <w:r>
              <w:rPr>
                <w:rFonts w:hint="default" w:ascii="Times New Roman" w:hAnsi="Times New Roman" w:eastAsia="方正仿宋_GBK" w:cs="Times New Roman"/>
                <w:b w:val="0"/>
                <w:bCs w:val="0"/>
                <w:i w:val="0"/>
                <w:iCs w:val="0"/>
                <w:kern w:val="2"/>
                <w:sz w:val="21"/>
                <w:szCs w:val="21"/>
                <w:u w:val="none"/>
                <w:lang w:val="en-US" w:eastAsia="zh-CN" w:bidi="ar"/>
              </w:rPr>
              <w:t>6前提方案（92分）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47" w:hRule="atLeast"/>
          <w:jc w:val="center"/>
        </w:trPr>
        <w:tc>
          <w:tcPr>
            <w:tcW w:w="1842"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2.6.1 设计与布局（5分）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2.6.1.1 餐饮单位在领取食品经营许可证后，须严格按照规定的条件和要求从事餐饮服务活动，未经许可不得擅自改变经营布局。（3分）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2.6.1.2 餐饮经营场所的相关环境设施设备应定期进行维护与保养，包括但不限于：门、窗、天花板、隔离网、管道等，确保能避免有害生物的侵入，并能提供有效的维护保养的相关记录。（2分）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5</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62"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2.6.2 设施设备（15分）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2.6.2.1 供水设施和排水设施</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—食品加工用水水质应符合</w:t>
            </w:r>
            <w:r>
              <w:rPr>
                <w:rFonts w:hint="default" w:ascii="Times New Roman" w:hAnsi="Times New Roman" w:eastAsia="方正仿宋_GBK" w:cs="Times New Roman"/>
                <w:i w:val="0"/>
                <w:caps w:val="0"/>
                <w:spacing w:val="0"/>
                <w:sz w:val="21"/>
                <w:szCs w:val="21"/>
                <w:u w:val="none"/>
                <w:shd w:val="clear" w:color="auto" w:fill="auto"/>
              </w:rPr>
              <w:t>GB</w:t>
            </w:r>
            <w:r>
              <w:rPr>
                <w:rFonts w:hint="default" w:ascii="Times New Roman" w:hAnsi="Times New Roman" w:eastAsia="方正仿宋_GBK" w:cs="Times New Roman"/>
                <w:caps w:val="0"/>
                <w:spacing w:val="0"/>
                <w:sz w:val="21"/>
                <w:szCs w:val="21"/>
                <w:u w:val="none"/>
                <w:shd w:val="clear" w:color="auto" w:fill="auto"/>
              </w:rPr>
              <w:t> </w:t>
            </w:r>
            <w:r>
              <w:rPr>
                <w:rFonts w:hint="default" w:ascii="Times New Roman" w:hAnsi="Times New Roman" w:eastAsia="方正仿宋_GBK" w:cs="Times New Roman"/>
                <w:i w:val="0"/>
                <w:caps w:val="0"/>
                <w:spacing w:val="0"/>
                <w:sz w:val="21"/>
                <w:szCs w:val="21"/>
                <w:u w:val="none"/>
                <w:shd w:val="clear" w:color="auto" w:fill="auto"/>
              </w:rPr>
              <w:t>5749</w:t>
            </w:r>
            <w:r>
              <w:rPr>
                <w:rFonts w:hint="default" w:ascii="Times New Roman" w:hAnsi="Times New Roman" w:eastAsia="方正仿宋_GBK" w:cs="Times New Roman"/>
                <w:caps w:val="0"/>
                <w:spacing w:val="0"/>
                <w:sz w:val="21"/>
                <w:szCs w:val="21"/>
                <w:u w:val="none"/>
                <w:shd w:val="clear" w:color="auto" w:fill="auto"/>
              </w:rPr>
              <w:t>-2022《生活饮用水卫生标准》</w:t>
            </w:r>
            <w:r>
              <w:rPr>
                <w:rFonts w:hint="default" w:ascii="Times New Roman" w:hAnsi="Times New Roman" w:eastAsia="方正仿宋_GBK" w:cs="Times New Roman"/>
                <w:sz w:val="21"/>
                <w:szCs w:val="21"/>
                <w:lang w:val="en-US" w:eastAsia="zh-CN" w:bidi="ar"/>
              </w:rPr>
              <w:t>的要求；对加工用水水质有特殊要求的食品（如现榨果汁、食用冰），应经过净水设施处理，符合</w:t>
            </w:r>
            <w:r>
              <w:rPr>
                <w:rFonts w:hint="default" w:ascii="Times New Roman" w:hAnsi="Times New Roman" w:eastAsia="方正仿宋_GBK" w:cs="Times New Roman"/>
                <w:i w:val="0"/>
                <w:caps w:val="0"/>
                <w:spacing w:val="0"/>
                <w:sz w:val="21"/>
                <w:szCs w:val="21"/>
                <w:u w:val="none"/>
                <w:shd w:val="clear" w:color="auto" w:fill="auto"/>
              </w:rPr>
              <w:t>CJ94</w:t>
            </w:r>
            <w:r>
              <w:rPr>
                <w:rFonts w:hint="default" w:ascii="Times New Roman" w:hAnsi="Times New Roman" w:eastAsia="方正仿宋_GBK" w:cs="Times New Roman"/>
                <w:caps w:val="0"/>
                <w:spacing w:val="0"/>
                <w:sz w:val="21"/>
                <w:szCs w:val="21"/>
                <w:u w:val="none"/>
                <w:shd w:val="clear" w:color="auto" w:fill="auto"/>
              </w:rPr>
              <w:t>-2005《饮用净水水质标准》</w:t>
            </w:r>
            <w:r>
              <w:rPr>
                <w:rFonts w:hint="default" w:ascii="Times New Roman" w:hAnsi="Times New Roman" w:eastAsia="方正仿宋_GBK" w:cs="Times New Roman"/>
                <w:sz w:val="21"/>
                <w:szCs w:val="21"/>
                <w:lang w:val="en-US" w:eastAsia="zh-CN" w:bidi="ar"/>
              </w:rPr>
              <w:t>的要</w:t>
            </w:r>
            <w:r>
              <w:rPr>
                <w:rFonts w:hint="eastAsia" w:ascii="Times New Roman" w:hAnsi="Times New Roman" w:eastAsia="方正仿宋_GBK" w:cs="Times New Roman"/>
                <w:sz w:val="21"/>
                <w:szCs w:val="21"/>
                <w:lang w:val="en-US" w:eastAsia="zh-CN" w:bidi="ar"/>
              </w:rPr>
              <w:t>求</w:t>
            </w:r>
            <w:r>
              <w:rPr>
                <w:rFonts w:hint="default" w:ascii="Times New Roman" w:hAnsi="Times New Roman" w:eastAsia="方正仿宋_GBK" w:cs="Times New Roman"/>
                <w:sz w:val="21"/>
                <w:szCs w:val="21"/>
                <w:lang w:val="en-US" w:eastAsia="zh-CN" w:bidi="ar"/>
              </w:rPr>
              <w:t>；使用预包装饮用水，应符合其执行标准要求。（2分）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—食品加工用水与其他不与食品接触的用水（如间接冷凝水、污水、废水等）应以完全分离的管道输送，确保无逆流或相互交接。（1分）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74"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2.6.2.2 清洗消毒保洁设施</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—清洗、消毒、保洁设施设备应放置在专用区域；（1分）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—食品工用具的清洗设备应与食品原料、清洁用具的清洗设备明显区分，使用化学消毒方法的，应设置接触直接入口食品的工用具的专用消毒水池；（1分）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—粗加工场所应设置动物食品、植物食品、水产品清洗水池，各类水池应</w:t>
            </w:r>
            <w:r>
              <w:rPr>
                <w:rFonts w:hint="eastAsia" w:ascii="Times New Roman" w:hAnsi="Times New Roman" w:eastAsia="方正仿宋_GBK" w:cs="Times New Roman"/>
                <w:i w:val="0"/>
                <w:iCs w:val="0"/>
                <w:kern w:val="2"/>
                <w:sz w:val="21"/>
                <w:szCs w:val="21"/>
                <w:u w:val="none"/>
                <w:lang w:val="en-US" w:eastAsia="zh-CN" w:bidi="ar"/>
              </w:rPr>
              <w:t>以</w:t>
            </w:r>
            <w:r>
              <w:rPr>
                <w:rFonts w:hint="default" w:ascii="Times New Roman" w:hAnsi="Times New Roman" w:eastAsia="方正仿宋_GBK" w:cs="Times New Roman"/>
                <w:i w:val="0"/>
                <w:iCs w:val="0"/>
                <w:kern w:val="2"/>
                <w:sz w:val="21"/>
                <w:szCs w:val="21"/>
                <w:u w:val="none"/>
                <w:lang w:val="en-US" w:eastAsia="zh-CN" w:bidi="ar"/>
              </w:rPr>
              <w:t>明显标识标明</w:t>
            </w:r>
            <w:r>
              <w:rPr>
                <w:rFonts w:hint="eastAsia" w:ascii="Times New Roman" w:hAnsi="Times New Roman" w:eastAsia="方正仿宋_GBK" w:cs="Times New Roman"/>
                <w:i w:val="0"/>
                <w:iCs w:val="0"/>
                <w:kern w:val="2"/>
                <w:sz w:val="21"/>
                <w:szCs w:val="21"/>
                <w:u w:val="none"/>
                <w:lang w:val="en-US" w:eastAsia="zh-CN" w:bidi="ar"/>
              </w:rPr>
              <w:t>其</w:t>
            </w:r>
            <w:r>
              <w:rPr>
                <w:rFonts w:hint="default" w:ascii="Times New Roman" w:hAnsi="Times New Roman" w:eastAsia="方正仿宋_GBK" w:cs="Times New Roman"/>
                <w:i w:val="0"/>
                <w:iCs w:val="0"/>
                <w:kern w:val="2"/>
                <w:sz w:val="21"/>
                <w:szCs w:val="21"/>
                <w:u w:val="none"/>
                <w:lang w:val="en-US" w:eastAsia="zh-CN" w:bidi="ar"/>
              </w:rPr>
              <w:t>用途；（1分）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—食品处理区内应设置清洁工具的清洗水池，其位置不应污染食品及其加工过程；（1分）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—食品处理区内应设置足够数</w:t>
            </w:r>
            <w:r>
              <w:rPr>
                <w:rFonts w:hint="eastAsia" w:ascii="Times New Roman" w:hAnsi="Times New Roman" w:eastAsia="方正仿宋_GBK" w:cs="Times New Roman"/>
                <w:i w:val="0"/>
                <w:iCs w:val="0"/>
                <w:kern w:val="2"/>
                <w:sz w:val="21"/>
                <w:szCs w:val="21"/>
                <w:u w:val="none"/>
                <w:lang w:val="en-US" w:eastAsia="zh-CN" w:bidi="ar"/>
              </w:rPr>
              <w:t>量</w:t>
            </w:r>
            <w:r>
              <w:rPr>
                <w:rFonts w:hint="default" w:ascii="Times New Roman" w:hAnsi="Times New Roman" w:eastAsia="方正仿宋_GBK" w:cs="Times New Roman"/>
                <w:i w:val="0"/>
                <w:iCs w:val="0"/>
                <w:kern w:val="2"/>
                <w:sz w:val="21"/>
                <w:szCs w:val="21"/>
                <w:u w:val="none"/>
                <w:lang w:val="en-US" w:eastAsia="zh-CN" w:bidi="ar"/>
              </w:rPr>
              <w:t>的洗手设施，洗手消毒的水龙头应采用非手动式，应有清洗、消毒、干手设施及洗手方法标识。（1分）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5</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18"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2.6.2.3 加工制作设备设施</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—餐饮单位应根据加工制作食品的需要，配备相应的设施、设备、容器、工具等，加工制作食品的设施、设备、容器、工具不得用于与加工制作食品无关的用途；（1分）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—设备的摆放、安装应便于清洁和操作，减少交叉污染；（1分）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—食品设备、容器和工具与食品的接触面应平滑、无凹陷或裂缝，内部角落部位避免有尖角，防止聚积食品碎屑、污垢等；（1分）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—用于盛放和加工原料、半成品、成品的容器、工具和设备应能明显区分，分开放置和使用。（1分）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4</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90"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2.6.2.4 照明设施</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—食品处理区应有充足的自然采光或人工照明设施，光源不得改变食品的感官颜色.（1分）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—安装在暴露食品正上方的照明灯应有防护装置，避免照明灯爆裂后污染食品。（1分）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90"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2.6.2.5 通风排烟设施</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—产生油烟的设备上方，设置机械排风及油烟过滤装置，过滤器便于清洁、更换。（1分）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—产生大量蒸汽的设备上方，设置机械排风排汽装置，并做好凝结水的引泄。（1分）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47"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2.6.3废弃物处理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（6分）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2.6.3.1 废弃物存放容器与设施</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—食品处理区内可能产生废弃物或垃圾的场所应设有密闭的废弃物容器，应与食品加工容器有明显区分标识；（2分）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—在经营场所外设置的废弃物临时集中存放设施，结构应紧密，不污染环境，防止虫害孳生。（2分）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4</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90"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2.6.3.2 废弃物的管理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—餐厨废弃物应分类放置、及时清理，不得溢出存放容器。（1分）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—餐厨废弃物的存放容器应及时清洁，必要时进行消毒。（1分）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47"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2.6.3.3 废弃物的处置</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—应建立、实施和保持废弃物收集、存放和处置规程，确保废弃物处置方式符合有关规定；（1分）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—应索取并留存餐厨废弃物收运者的资质证明复印件，并与其签订收运合同，明确各自的食品安全责任和义务；（1分）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2.6.4 设备、用具清洁、保养（4分）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2.6.4.1 应对食品加工、储存、消毒、保洁等设备和用具的清洁、保养、维护建立操作规程。</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2.6.4.2 应定期对食品加工、储存、消毒、保洁等设备实施清洁保养，并保留相应记录。</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2.6.5 清洗和消毒（10分）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2.6.5.1 应制定清洗和消毒规程，包括</w:t>
            </w:r>
            <w:r>
              <w:rPr>
                <w:rFonts w:hint="eastAsia" w:ascii="Times New Roman" w:hAnsi="Times New Roman" w:eastAsia="方正仿宋_GBK" w:cs="Times New Roman"/>
                <w:i w:val="0"/>
                <w:iCs w:val="0"/>
                <w:kern w:val="2"/>
                <w:sz w:val="21"/>
                <w:szCs w:val="21"/>
                <w:u w:val="none"/>
                <w:lang w:val="en-US" w:eastAsia="zh-CN" w:bidi="ar"/>
              </w:rPr>
              <w:t>清</w:t>
            </w:r>
            <w:r>
              <w:rPr>
                <w:rFonts w:hint="default" w:ascii="Times New Roman" w:hAnsi="Times New Roman" w:eastAsia="方正仿宋_GBK" w:cs="Times New Roman"/>
                <w:i w:val="0"/>
                <w:iCs w:val="0"/>
                <w:kern w:val="2"/>
                <w:sz w:val="21"/>
                <w:szCs w:val="21"/>
                <w:u w:val="none"/>
                <w:lang w:val="en-US" w:eastAsia="zh-CN" w:bidi="ar"/>
              </w:rPr>
              <w:t>洁消毒的区域，设备或器具名称，洗涤剂/消毒剂的名称、浓度和时间，清洁消毒的方法和频率，清洁消毒效果的验证等内容，确保食品加工场所清洁卫生，防止食品污染。</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02"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2.6.5.2 餐饮具、食品容器、工具和设备等食品接触面应采取必要的清洁和消毒措施，达到GB 14934《食品安全国家标准 消毒餐（饮）具》的要求：</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—餐用具使用后应及时洗净，餐饮具、盛放或接触直接入口食品的容器和工具使用前应消毒；</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—采用物理消毒，应检查餐用具消毒设备或设施的运行状况；</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—采用化学消毒的，应现用现配，并定期测量消毒液的消毒浓度；</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—从业人员佩戴手套清洗消毒餐用具的，接触消毒后的餐用具前应更换手套，手套应予以区分；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—消毒后的餐饮具、盛放或接触直接入口食品的容器和工具，应符合GB 14934《食品安全国家标准 消毒餐（饮）具》的规定，不得重复使用一次性餐饮具。</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—委托餐饮具集中服务单位提供清洗服务的，应当查验、留存餐饮具集中消毒单位的营业执照复印件和消毒合格证明，保存期限应不少于消毒餐饮具使用期限到期后6个月；</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—消毒后的餐饮具、盛放或接触直接入口食品的容器和工具，应定位存放在专用的密闭保洁设施内，保持清洁；</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—使用抹布擦干的，抹布应专用，并经清洗消毒方可使用。</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4</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47"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2.6.5.3 洗涤剂消毒剂</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—使用的洗涤剂、消毒剂应分别符合GB 14930.1和GB 14930.2等国家标准和有关规定；（1分）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—应严格按照洗涤剂、消毒剂的使用说明进行操作；（1分）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—应保留消毒剂配置记录。（1）</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2.6.5.4 不同清洁区的工作服分别清洗消毒，工作服分区域保管。</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18"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2.6.6 虫害防治（8分）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2.6.6.1 虫害防治</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—应根据餐饮单位所处环境制定虫害控制计划或制度，定期检查，防止有害生物藏匿、孳生或侵入；（1分）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—采用外包方式控制虫害的，应对外包方进行管理和监视，留存虫害防治人员操作记录；（1分）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—应确保使用化学生物制剂进行处理时，不会影响食品安全，污染食品接触表面、设备、工器具及包装材料；（1分）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—收取货物时，应检查运输工具和货物包装是否有有害生物活动迹象，防止有害生物入侵，并保留查验记录；（1分）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4</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18"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2.6.6.2 杀虫剂和杀鼠剂的管理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—选择的卫生杀虫剂和杀鼠剂，标签信息应齐全（农药登记证、农药生产许可证、农药标准）并在有效期内；（1分）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—使用卫生杀虫剂和杀鼠剂的人员应经过有害生物防制专业培训，并保留记录；（1分）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—应严格根据卫生杀虫剂和杀鼠剂的技术要求确定使用剂量和位置，设置警示标识；（1分）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—应设置单独、固定的卫生杀虫剂和杀鼠剂产品存放场所，不得在食品处理区和就餐场所存放卫生杀虫剂和杀鼠剂产品，应由专人负责。（1分）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4</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18"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2.6.7 人员健康和卫生（7分）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2.6.7.1 健康管理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—应建立从业人员健康管理制度，明确健康标准，降低食品安全风险；（1分）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—应建立从业人员健康档案，统一管理员工健康证明并保持有效，确保从业人员（含新参加或临时参加工作人员）上岗前获得健康证明；（1分）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—每年应至少进行一次健康检查，必要时接受临时检查，并保留相关记录；（1分）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—应建立每日晨检制度，每天对从业人员上岗前的健康状况进行检查，确保发现有碍食品安全病症及手部有伤口的从业人员，立即暂停从事接触直接入口食品的工作，并保留相关记录。（1分）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4</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8"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2.6.7.2 人员卫生</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—从业人员不得留长指甲、涂指甲油。工作时，应穿清洁的工作服，不得披散头发，佩戴的手表、手镯、手链、手串、戒指、耳环等饰物不得外露；（1分）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—食品处理区内的从业人员不宜化妆，应戴清洁的工作帽，工作帽应能将头发全部遮盖住；（1分）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—专间和专用操作区从业人员应佩戴清洁口罩，专间从业人员进入专间前应更换专用工作服，离开专间时，应脱去专用工作服；（1分）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—从业人员在加工制作食品前应按要求洗净手部，从事接触直接入口食品工作的从业人员，加工制作食品前应清洗手部并消毒，发生可能污染手部的活动后，应重新洗净手部及消毒；（1分）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—工作服应定点存放，从事接触直接入口食品工作的从业人员，其工作服应每天清洗更换，待清洗的工作服不得存放在食品处理区。（1分）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20"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2.6.8 采购材料的管理（17分）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2.6.8.1 供应商的控制</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—餐饮单位应建立原料、食品添加剂、食品相关产品供应商选择、评定和日常管理制度或程序；</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（2分）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—应保持和更新合格供方名录，确保从合格供方名录中采购原料、食品添加剂、食品相关产品；</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—应按规定选择、评价供应商并实施有效日常管理，并保留供应商选择评价及日常管理记录；</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（1分）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4</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95"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2.6.8.2 进货查验</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—应建立并执行进货查验和记录制度，按规定进行查验，确保采购的产品符合要求和国家有关的食品卫生标准（2分）。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—应查验随货证明文件（许可资质证明、产品合格证明、检疫合格证明、肉品品质检验合格证明）和采购或送货凭证（6分）：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 xml:space="preserve">   1）从食品生产者采购食品的，应查验其食品生产许可证和产品合格证明文件，采购食品添加剂、食品相关 产品的，应查验其营业执照和产品合格证明文件（1分）；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 xml:space="preserve">   2）从食品销售者（商场、超市、便利店等）采购食品的，查验其食品经营许可证等，采购食品添加剂、食品相关产品的，查验其营业执照（1分）；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 xml:space="preserve">   3）从食用农产品个体生产者直接采购食用农产品的，查验其有效身份证明（1分）；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 xml:space="preserve">   4）从食用农产品生产企业和农民专业合作经济组织采购食用农产品的，查验其社会信用代码和产品合格证明文件（1分）；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 xml:space="preserve">   5）从集中交易市场采购食用农产品的，索取并留存市场管理部门或经营者加盖公章（或负责人签字）的购货凭证（1分）；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 xml:space="preserve">   6）采购畜禽肉类的，还应查验动物产品检疫合格证明；采购猪肉的，还应查验肉品品质检验合格证明（1分）。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—应留存每笔购物或送货凭证（1分）。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8</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74"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2.6.8.3入库查验和记录</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—入库前应对原料、食品添加剂、食品相关产品的外观、温度进行查验，查验的内容应至少包括以下（3分）：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 xml:space="preserve">  1)食品原料感</w:t>
            </w:r>
            <w:r>
              <w:rPr>
                <w:rFonts w:hint="eastAsia" w:ascii="Times New Roman" w:hAnsi="Times New Roman" w:eastAsia="方正仿宋_GBK" w:cs="Times New Roman"/>
                <w:sz w:val="21"/>
                <w:szCs w:val="21"/>
                <w:lang w:val="en-US" w:eastAsia="zh-CN" w:bidi="ar"/>
              </w:rPr>
              <w:t>官性</w:t>
            </w:r>
            <w:r>
              <w:rPr>
                <w:rFonts w:hint="default" w:ascii="Times New Roman" w:hAnsi="Times New Roman" w:eastAsia="方正仿宋_GBK" w:cs="Times New Roman"/>
                <w:sz w:val="21"/>
                <w:szCs w:val="21"/>
                <w:lang w:val="en-US" w:eastAsia="zh-CN" w:bidi="ar"/>
              </w:rPr>
              <w:t>状正常，无腐败、变质、污染等现象；</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 xml:space="preserve">  2)预包装食品包装完整、清洁、无破损，内容物与产品标识一致：</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 xml:space="preserve">  3)标签标识完整、清晰、载明的事项符合食品安全标准和要求：</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 xml:space="preserve">  4)食品在保质期内；</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 xml:space="preserve">  5)食品温度符合食品安全要求</w:t>
            </w:r>
            <w:r>
              <w:rPr>
                <w:rFonts w:hint="eastAsia"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—应保留入库查验记录台账及领料出库台账可供追溯。（2分）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5</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18"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2.6.9 产品贮存管理（13分）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2.6.9.1 库房及冷冻（藏）设施</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—应根据食品贮存条件设置相应的食品库房或存放场所，必要时设置冷冻库、冷藏库（1分）;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—冷冻柜、冷藏柜应有明显的区分标识，冷冻、冷藏柜（库）应设可正确显示内部温度的温度计，宜设置外显式温度计（1分）；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—清洗消毒工具和洗涤剂、消毒剂等物品应设独立隔间或区域存放，并设醒目标识（1分）；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—同一库房内贮存不同类别食品和非食品（如食品包装材料等），应分设存放区域，不同区域有明显的区分标识（1分）；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—应设专柜（位）贮存食品添加剂，标注“食品添加剂”字样，并与食品、食品相关产品分开存放（1分）。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5</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16"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2.6.9.2 贮存管理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—餐饮单位应建立、实施和保持仓库管理规程，确保按照“先进先出”和“有效期优先”的原则控制物料出库顺序；（1分）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—应按照食品安全要求贮存原料，有明确的保存条件和保质期的，应按照保存条件和保质期贮存；</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—保存条件、保质期不明确的及开封后的、自制半成品应根据食品品种、加工制作方式、包装形式等针对性的确定适宜的保存条件和保存期限；（1分）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—应明确规定冷藏或冷冻的温度，冷冻或冷藏品应持续处于稳定的冷冻或冷藏状态；（1分）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—储存的原料、食品添加剂、食品相关产品应标明采购日期、开封日期、加工制作日期及保质期；</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—应对原料、食品添加剂、食品相关产品的存放仓库进行管理，定期检查库存产品质量和卫生情况，及时清理变质或超过保质期的库存；（1分）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—库房应通风、防潮及防止有害生物侵入的装置；（1分）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—应保留出入库记录。（1分）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8</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1842"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2.6.10 食品安全自查（5分）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 xml:space="preserve"> 餐饮单位建立食品安全自查清单及计划，定期开展食品安全自查：（1分）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—制度自查：每年至少开展一次，当国家食品安全法律、法规、规章、规范性文件、发生变化时，及时开展制度自查和修订；（1分）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—定期自查：每月至少开展一次自查；（1分）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—专项自查：获知食品安全风险信息后，应立即开展专项自查；（1分）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—问题食品：对自查中发现的问题食品，应立即停止使用，存放在加贴醒目、牢固标识的专门区域，避免被误用，并采取退货、销毁措施处理。（1分）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5</w:t>
            </w:r>
          </w:p>
        </w:tc>
        <w:tc>
          <w:tcPr>
            <w:tcW w:w="1400" w:type="dxa"/>
            <w:shd w:val="clear" w:color="auto" w:fill="FFFFFF"/>
            <w:noWrap w:val="0"/>
            <w:vAlign w:val="center"/>
          </w:tcPr>
          <w:p>
            <w:pPr>
              <w:rPr>
                <w:rFonts w:hint="default" w:ascii="Times New Roman" w:hAnsi="Times New Roman" w:eastAsia="方正仿宋_GBK" w:cs="Times New Roman"/>
                <w:b w:val="0"/>
                <w:bCs w:val="0"/>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b w:val="0"/>
                <w:bCs w:val="0"/>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4102" w:type="dxa"/>
            <w:gridSpan w:val="5"/>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eastAsia"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sz w:val="21"/>
                <w:szCs w:val="21"/>
                <w:lang w:val="en-US" w:eastAsia="zh-CN" w:bidi="ar"/>
              </w:rPr>
              <w:t>7加工过程4D管理（40分）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04" w:hRule="atLeast"/>
          <w:jc w:val="center"/>
        </w:trPr>
        <w:tc>
          <w:tcPr>
            <w:tcW w:w="1842"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2.7.1 基本要求</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（4分）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加工制作食品过程中，应采取相应措施，避免食物受到交叉污染；</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—用于食品原料、半成品、成品的容器和工具分开放置和使用；（1分）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—不在食品处理区内从事可能污染食品的活动；（1分）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—不在食品处理区外从事食品加工、餐用具清洗消毒活动；（1分）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—接触食品的容器和工具不应直接放置在地面上或接触不洁物。（1分）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4</w:t>
            </w:r>
          </w:p>
        </w:tc>
        <w:tc>
          <w:tcPr>
            <w:tcW w:w="1400" w:type="dxa"/>
            <w:shd w:val="clear" w:color="auto" w:fill="FFFFFF"/>
            <w:noWrap w:val="0"/>
            <w:vAlign w:val="center"/>
          </w:tcPr>
          <w:p>
            <w:pPr>
              <w:rPr>
                <w:rFonts w:hint="default" w:ascii="Times New Roman" w:hAnsi="Times New Roman" w:eastAsia="方正仿宋_GBK" w:cs="Times New Roman"/>
                <w:b w:val="0"/>
                <w:bCs w:val="0"/>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b w:val="0"/>
                <w:bCs w:val="0"/>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3"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2.7.2粗加工</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（10分）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2.7.2.1加工前应认真检查待加工食品，发现有腐败变质、混有异物或其他感官异常等情形的食材，不应加工使用。</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2.7.2.2 食品原料加工前应洗净。未经事先清洁的禽蛋使用前应清洁外壳，必要时消毒。</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2.7.2.3 经过粗加工的食品应做好防护，防止污染。</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2.7.2.4 经过粗加工的易腐食品应及时使用或冷藏、冷冻。冷冻（藏）食品出库后，应及时制作，冷冻原料不宜反复解冻、冷冻。</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2.7.2.5 砧板、刀具、抹布按用途区分使用，并经清洁消毒处理，状态良好。</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2.7.3 成品加工</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（10分）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2.7.3.1 食品烹饪的温度和时间应能保证食品安全。需要烧熟煮透的食品，加工制作时食品的中心温度应达到70℃以上。对特殊加工制作工艺，中心温度低于70℃的食品，应采取措施，确保食品安全。</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4</w:t>
            </w:r>
          </w:p>
        </w:tc>
        <w:tc>
          <w:tcPr>
            <w:tcW w:w="14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3"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2.7.3.2 盛放调味料的容器是否清洁，使用后加盖存放，应加贴标签标注生产日期/调制日期、开封日期及保质期。</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2.7.3.3 食品煎炸所使用的食用油色泽、气味、状态应无异常，必要时应进行检测。</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2.7.3.4 应采取有效措施，避免或减少食品在烹饪过程中产生有害物质。</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2.7.4 专间/专用操作区（10分）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2.7.4.1 应制定专间/专用操作区加工制作操作管理规范，明确专间/专用操作区的标识、设施、环境、人员及操作要求。</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w:t>
            </w:r>
          </w:p>
        </w:tc>
        <w:tc>
          <w:tcPr>
            <w:tcW w:w="14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2.7.4.2 专间的门和食品传递窗口应及时关闭。专间内温度应不超过25°C。</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2.7.4.3 每餐或每班使用专间前，应对操作台面和专间空气进行消毒。专间和专用操作区使用的容器、工具、设备和清洁工具应在使用前清洗消毒，并保留消毒记录。</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2.7.4.4 专间和专用操作区应专人加工制作，从业人员和专用操作区从业人员操作时，应按要求穿戴工作服和口罩，按要求清洗消毒手部。</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2.7.4.5 进入专间和放在专用操作区的食品应为直接入口食品，应避免受到污染。 不得在专间或专用操作区从事非清洁操作区的加工制作活动。</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2.7.5 食品添加剂(8分）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2.7.5.1 应制定食品添加剂使用管理制度，确保添加剂的正确采购、贮存、及使用，应符合GB 2760《食品安全国家标准 食品添加剂使用标准》的要求。</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2.7.5.2 食品添加的标签应标注使用范围、用量、使用方法等内容；使用容器盛放拆包后的食品添加剂的，应在盛放容器上标明食品添加剂名称，并保留原包装。</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2.7.5.3 使用时应精准称量使用，不得超范围或超量使用食品添加剂。</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2.7.5.4 应专册记录使用的食品添加剂名称、生产日期或批号、添加的食品品种、添加量、添加时间、操作人员等信息.</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2.7.6高温易腐食品加工(6分）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2.7.6.1 需要冷冻（藏）的易腐食品（含半成品）应在熟制后立即冷却。</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4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2.7.6.2 烹饪完毕至食用超过2h的易腐食品，应在高于60℃或低于8℃的条件下存放。</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2.7.6.3 应在清洁操作区内进行熟制成品的冷却，并在盛放容器上标注加工制作时间等。</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2.7.6.4 再加热食品时应按安全的烹饪温度和时间要求进行再加热。</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2.7.6.5 食品再加热不得超过一次，再加热后仍未在规定时间内用完的食物</w:t>
            </w:r>
            <w:r>
              <w:rPr>
                <w:rFonts w:hint="eastAsia" w:ascii="Times New Roman" w:hAnsi="Times New Roman" w:eastAsia="方正仿宋_GBK" w:cs="Times New Roman"/>
                <w:i w:val="0"/>
                <w:iCs w:val="0"/>
                <w:kern w:val="2"/>
                <w:sz w:val="21"/>
                <w:szCs w:val="21"/>
                <w:u w:val="none"/>
                <w:lang w:val="en-US" w:eastAsia="zh-CN" w:bidi="ar"/>
              </w:rPr>
              <w:t>应</w:t>
            </w:r>
            <w:r>
              <w:rPr>
                <w:rFonts w:hint="default" w:ascii="Times New Roman" w:hAnsi="Times New Roman" w:eastAsia="方正仿宋_GBK" w:cs="Times New Roman"/>
                <w:i w:val="0"/>
                <w:iCs w:val="0"/>
                <w:kern w:val="2"/>
                <w:sz w:val="21"/>
                <w:szCs w:val="21"/>
                <w:u w:val="none"/>
                <w:lang w:val="en-US" w:eastAsia="zh-CN" w:bidi="ar"/>
              </w:rPr>
              <w:t>废弃处理。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2.7.7食品留样（6分）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2.7.7.1 一次性集体聚餐人数超过100人或为重大活动供餐时，每餐次的食品成品均应留样。</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2.7.7.2 每个品种的留样量应能满足检验检测需要，且不少于125g。</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2.7.7.3 分别盛放于清洗消毒后的专用密闭容器内，在专用冷藏设备中冷藏存放48小时以上。</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3"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2.7.7.4 盛放留样食品的容器应标注留样食品名称、留样时间（月、日、时），或者标注与留样记录相对应的标识。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2.7.7.5 应由专人管理留样食品、记录留样情况，记录内容包括留样食品名称、留样时间（月、日、时）、留样人员等。</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2.7.8食品配送</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（3分）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2.7.8.1 一次性餐饮具应经检验合格后使用，并保留检验合格证明。</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2.7.8.2 送餐所用餐饮具和食品容器上应有标签，标明生产单位、地址、联系电话、生产时间、生产批号和使用时限等信息。</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2.7.9 餐饮前台服务（4分）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2.7.9.1 顾客点菜用的菜单，应定期消毒和检查。</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4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2.7.9.2 传递食品时应使用适当的防护措施保证食品不</w:t>
            </w:r>
            <w:r>
              <w:rPr>
                <w:rFonts w:hint="eastAsia" w:ascii="Times New Roman" w:hAnsi="Times New Roman" w:eastAsia="方正仿宋_GBK" w:cs="Times New Roman"/>
                <w:i w:val="0"/>
                <w:iCs w:val="0"/>
                <w:kern w:val="2"/>
                <w:sz w:val="21"/>
                <w:szCs w:val="21"/>
                <w:u w:val="none"/>
                <w:lang w:val="en-US" w:eastAsia="zh-CN" w:bidi="ar"/>
              </w:rPr>
              <w:t>受</w:t>
            </w:r>
            <w:r>
              <w:rPr>
                <w:rFonts w:hint="default" w:ascii="Times New Roman" w:hAnsi="Times New Roman" w:eastAsia="方正仿宋_GBK" w:cs="Times New Roman"/>
                <w:i w:val="0"/>
                <w:iCs w:val="0"/>
                <w:kern w:val="2"/>
                <w:sz w:val="21"/>
                <w:szCs w:val="21"/>
                <w:u w:val="none"/>
                <w:lang w:val="en-US" w:eastAsia="zh-CN" w:bidi="ar"/>
              </w:rPr>
              <w:t>污染。</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2.7.9.3 服务人员应使用手套或其他措施防止未经清洁的手接触食品。</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9882" w:type="dxa"/>
            <w:gridSpan w:val="2"/>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sz w:val="21"/>
                <w:szCs w:val="21"/>
                <w:lang w:val="en-US" w:eastAsia="zh-CN" w:bidi="ar"/>
              </w:rPr>
              <w:t>8.验证（8分）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b w:val="0"/>
                <w:bCs w:val="0"/>
                <w:i w:val="0"/>
                <w:iCs w:val="0"/>
                <w:kern w:val="2"/>
                <w:sz w:val="21"/>
                <w:szCs w:val="21"/>
                <w:u w:val="none"/>
                <w:lang w:val="en-US" w:eastAsia="zh-CN" w:bidi="ar"/>
              </w:rPr>
              <w:t>分值</w:t>
            </w:r>
          </w:p>
        </w:tc>
        <w:tc>
          <w:tcPr>
            <w:tcW w:w="140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sz w:val="21"/>
                <w:szCs w:val="21"/>
                <w:lang w:val="en-US" w:eastAsia="zh-CN" w:bidi="ar"/>
              </w:rPr>
              <w:t>评价得分</w:t>
            </w:r>
          </w:p>
        </w:tc>
        <w:tc>
          <w:tcPr>
            <w:tcW w:w="170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sz w:val="21"/>
                <w:szCs w:val="21"/>
                <w:lang w:val="en-US" w:eastAsia="zh-CN" w:bidi="ar"/>
              </w:rPr>
              <w:t>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2.8.1 验证制度</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（6分）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2.8.1.1餐饮单位应建立食品安全验证管理制度，定期对食品工器具、餐饮具、紫外线强度、冷热保藏设施温度及操作过程污染情况等项目进行验证。</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2.8.1.2 可根据自身的食品安全风险分析结果，确定验证项目，如餐用具清洗消毒效果、紫外线强度、冷热保藏设施温度及操作过程污染情况等。</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2.8.2 检测记录</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（4分）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2.8.2.1应按规定要求实施检测，并保留相关记录。</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restart"/>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2.8.2.2 如委托第三方机构进行检验检测的，应确认其资质。</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4102" w:type="dxa"/>
            <w:gridSpan w:val="5"/>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sz w:val="21"/>
                <w:szCs w:val="21"/>
                <w:lang w:val="en-US" w:eastAsia="zh-CN" w:bidi="ar"/>
              </w:rPr>
              <w:t>三、社会责任及品牌建设（200分）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shd w:val="clear" w:color="auto" w:fill="FFFFFF"/>
            <w:noWrap w:val="0"/>
            <w:vAlign w:val="center"/>
          </w:tcPr>
          <w:p>
            <w:pPr>
              <w:keepNext w:val="0"/>
              <w:keepLines w:val="0"/>
              <w:widowControl/>
              <w:suppressLineNumbers w:val="0"/>
              <w:jc w:val="center"/>
              <w:textAlignment w:val="auto"/>
              <w:rPr>
                <w:rFonts w:hint="default" w:ascii="Times New Roman" w:hAnsi="Times New Roman" w:eastAsia="方正仿宋_GBK" w:cs="Times New Roman"/>
                <w:sz w:val="21"/>
                <w:szCs w:val="21"/>
                <w:lang w:val="en-US" w:eastAsia="zh-CN" w:bidi="ar"/>
              </w:rPr>
            </w:pPr>
            <w:r>
              <w:rPr>
                <w:rFonts w:hint="default" w:ascii="Times New Roman" w:hAnsi="Times New Roman" w:eastAsia="方正仿宋_GBK" w:cs="Times New Roman"/>
                <w:sz w:val="21"/>
                <w:szCs w:val="21"/>
                <w:lang w:val="en-US" w:eastAsia="zh-CN" w:bidi="ar"/>
              </w:rPr>
              <w:t>条款</w:t>
            </w:r>
          </w:p>
        </w:tc>
        <w:tc>
          <w:tcPr>
            <w:tcW w:w="8040" w:type="dxa"/>
            <w:shd w:val="clear" w:color="auto" w:fill="FFFFFF"/>
            <w:noWrap w:val="0"/>
            <w:vAlign w:val="center"/>
          </w:tcPr>
          <w:p>
            <w:pPr>
              <w:keepNext w:val="0"/>
              <w:keepLines w:val="0"/>
              <w:widowControl/>
              <w:suppressLineNumbers w:val="0"/>
              <w:jc w:val="center"/>
              <w:textAlignment w:val="auto"/>
              <w:rPr>
                <w:rFonts w:hint="default" w:ascii="Times New Roman" w:hAnsi="Times New Roman" w:eastAsia="方正仿宋_GBK" w:cs="Times New Roman"/>
                <w:sz w:val="21"/>
                <w:szCs w:val="21"/>
                <w:lang w:val="en-US" w:eastAsia="zh-CN" w:bidi="ar"/>
              </w:rPr>
            </w:pPr>
            <w:r>
              <w:rPr>
                <w:rFonts w:hint="default" w:ascii="Times New Roman" w:hAnsi="Times New Roman" w:eastAsia="方正仿宋_GBK" w:cs="Times New Roman"/>
                <w:sz w:val="21"/>
                <w:szCs w:val="21"/>
                <w:lang w:val="en-US" w:eastAsia="zh-CN" w:bidi="ar"/>
              </w:rPr>
              <w:t>评价内容</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sz w:val="21"/>
                <w:szCs w:val="21"/>
                <w:lang w:val="en-US" w:eastAsia="zh-CN" w:bidi="ar"/>
              </w:rPr>
            </w:pPr>
            <w:r>
              <w:rPr>
                <w:rFonts w:hint="default" w:ascii="Times New Roman" w:hAnsi="Times New Roman" w:eastAsia="方正仿宋_GBK" w:cs="Times New Roman"/>
                <w:b w:val="0"/>
                <w:bCs w:val="0"/>
                <w:i w:val="0"/>
                <w:iCs w:val="0"/>
                <w:kern w:val="2"/>
                <w:sz w:val="21"/>
                <w:szCs w:val="21"/>
                <w:u w:val="none"/>
                <w:lang w:val="en-US" w:eastAsia="zh-CN" w:bidi="ar"/>
              </w:rPr>
              <w:t>分值</w:t>
            </w:r>
          </w:p>
        </w:tc>
        <w:tc>
          <w:tcPr>
            <w:tcW w:w="140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sz w:val="21"/>
                <w:szCs w:val="21"/>
                <w:lang w:val="en-US" w:eastAsia="zh-CN" w:bidi="ar"/>
              </w:rPr>
            </w:pPr>
            <w:r>
              <w:rPr>
                <w:rFonts w:hint="default" w:ascii="Times New Roman" w:hAnsi="Times New Roman" w:eastAsia="方正仿宋_GBK" w:cs="Times New Roman"/>
                <w:sz w:val="21"/>
                <w:szCs w:val="21"/>
                <w:lang w:val="en-US" w:eastAsia="zh-CN" w:bidi="ar"/>
              </w:rPr>
              <w:t>评价得分</w:t>
            </w:r>
          </w:p>
        </w:tc>
        <w:tc>
          <w:tcPr>
            <w:tcW w:w="170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sz w:val="21"/>
                <w:szCs w:val="21"/>
                <w:lang w:val="en-US" w:eastAsia="zh-CN" w:bidi="ar"/>
              </w:rPr>
            </w:pPr>
            <w:r>
              <w:rPr>
                <w:rFonts w:hint="default" w:ascii="Times New Roman" w:hAnsi="Times New Roman" w:eastAsia="方正仿宋_GBK" w:cs="Times New Roman"/>
                <w:sz w:val="21"/>
                <w:szCs w:val="21"/>
                <w:lang w:val="en-US" w:eastAsia="zh-CN" w:bidi="ar"/>
              </w:rPr>
              <w:t>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9882" w:type="dxa"/>
            <w:gridSpan w:val="2"/>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eastAsia"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sz w:val="21"/>
                <w:szCs w:val="21"/>
                <w:lang w:val="en-US" w:eastAsia="zh-CN" w:bidi="ar"/>
              </w:rPr>
              <w:t>1社会责任（120分）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p>
        </w:tc>
        <w:tc>
          <w:tcPr>
            <w:tcW w:w="140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p>
        </w:tc>
        <w:tc>
          <w:tcPr>
            <w:tcW w:w="170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3.1.1环境及卫生条件（25分）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3.1.1.1 就餐场所环境：餐饮单位的就餐环境应干净整洁、通风良好、温度适宜、标识清晰、专用设备齐全（如爱心座椅、儿童桌椅等）。</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5</w:t>
            </w:r>
          </w:p>
        </w:tc>
        <w:tc>
          <w:tcPr>
            <w:tcW w:w="1400" w:type="dxa"/>
            <w:shd w:val="clear" w:color="auto" w:fill="FFFFFF"/>
            <w:noWrap w:val="0"/>
            <w:vAlign w:val="center"/>
          </w:tcPr>
          <w:p>
            <w:pPr>
              <w:rPr>
                <w:rFonts w:hint="default" w:ascii="Times New Roman" w:hAnsi="Times New Roman" w:eastAsia="方正仿宋_GBK" w:cs="Times New Roman"/>
                <w:b w:val="0"/>
                <w:bCs w:val="0"/>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b w:val="0"/>
                <w:bCs w:val="0"/>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74"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3.1.1.2 卫生间卫生条件</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—卫生间不应设置在食品处理区内，出入口不应直对食品处理区，不宜直对就餐区（3分）；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—应有良好的通风设施，无异味（3分）；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sz w:val="21"/>
                <w:szCs w:val="21"/>
                <w:lang w:eastAsia="zh-CN" w:bidi="ar"/>
              </w:rPr>
              <w:t>洗手间与厕间以及厕位间有隔断，</w:t>
            </w:r>
            <w:r>
              <w:rPr>
                <w:rFonts w:hint="default" w:ascii="Times New Roman" w:hAnsi="Times New Roman" w:eastAsia="方正仿宋_GBK" w:cs="Times New Roman"/>
                <w:sz w:val="21"/>
                <w:szCs w:val="21"/>
                <w:lang w:bidi="ar"/>
              </w:rPr>
              <w:t>厕位数量应与经营场所服务规模及能力相适宜</w:t>
            </w:r>
            <w:r>
              <w:rPr>
                <w:rFonts w:hint="default" w:ascii="Times New Roman" w:hAnsi="Times New Roman" w:eastAsia="方正仿宋_GBK" w:cs="Times New Roman"/>
                <w:sz w:val="21"/>
                <w:szCs w:val="21"/>
                <w:lang w:val="en-US" w:eastAsia="zh-CN" w:bidi="ar"/>
              </w:rPr>
              <w:t>(3分）；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—出口处应设置洗手设施，</w:t>
            </w:r>
            <w:r>
              <w:rPr>
                <w:rFonts w:hint="eastAsia" w:ascii="Times New Roman" w:hAnsi="Times New Roman" w:eastAsia="方正仿宋_GBK" w:cs="Times New Roman"/>
                <w:sz w:val="21"/>
                <w:szCs w:val="21"/>
                <w:lang w:val="en-US" w:eastAsia="zh-CN" w:bidi="ar"/>
              </w:rPr>
              <w:t>宜</w:t>
            </w:r>
            <w:r>
              <w:rPr>
                <w:rFonts w:hint="default" w:ascii="Times New Roman" w:hAnsi="Times New Roman" w:eastAsia="方正仿宋_GBK" w:cs="Times New Roman"/>
                <w:sz w:val="21"/>
                <w:szCs w:val="21"/>
                <w:lang w:val="en-US" w:eastAsia="zh-CN" w:bidi="ar"/>
              </w:rPr>
              <w:t>有感应式水龙头（3分）；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—客用品齐备，</w:t>
            </w:r>
            <w:r>
              <w:rPr>
                <w:rFonts w:hint="eastAsia" w:ascii="Times New Roman" w:hAnsi="Times New Roman" w:eastAsia="方正仿宋_GBK" w:cs="Times New Roman"/>
                <w:sz w:val="21"/>
                <w:szCs w:val="21"/>
                <w:lang w:val="en-US" w:eastAsia="zh-CN" w:bidi="ar"/>
              </w:rPr>
              <w:t>配备</w:t>
            </w:r>
            <w:r>
              <w:rPr>
                <w:rFonts w:hint="default" w:ascii="Times New Roman" w:hAnsi="Times New Roman" w:eastAsia="方正仿宋_GBK" w:cs="Times New Roman"/>
                <w:sz w:val="21"/>
                <w:szCs w:val="21"/>
                <w:lang w:eastAsia="zh-CN" w:bidi="ar"/>
              </w:rPr>
              <w:t>配备洗手</w:t>
            </w:r>
            <w:r>
              <w:rPr>
                <w:rFonts w:hint="default" w:ascii="Times New Roman" w:hAnsi="Times New Roman" w:eastAsia="方正仿宋_GBK" w:cs="Times New Roman"/>
                <w:sz w:val="21"/>
                <w:szCs w:val="21"/>
                <w:lang w:bidi="ar"/>
              </w:rPr>
              <w:t>液</w:t>
            </w:r>
            <w:r>
              <w:rPr>
                <w:rFonts w:hint="default" w:ascii="Times New Roman" w:hAnsi="Times New Roman" w:eastAsia="方正仿宋_GBK" w:cs="Times New Roman"/>
                <w:sz w:val="21"/>
                <w:szCs w:val="21"/>
                <w:lang w:eastAsia="zh-CN" w:bidi="ar"/>
              </w:rPr>
              <w:t>（</w:t>
            </w:r>
            <w:r>
              <w:rPr>
                <w:rFonts w:hint="default" w:ascii="Times New Roman" w:hAnsi="Times New Roman" w:eastAsia="方正仿宋_GBK" w:cs="Times New Roman"/>
                <w:sz w:val="21"/>
                <w:szCs w:val="21"/>
                <w:lang w:bidi="ar"/>
              </w:rPr>
              <w:t>皂</w:t>
            </w:r>
            <w:r>
              <w:rPr>
                <w:rFonts w:hint="default" w:ascii="Times New Roman" w:hAnsi="Times New Roman" w:eastAsia="方正仿宋_GBK" w:cs="Times New Roman"/>
                <w:sz w:val="21"/>
                <w:szCs w:val="21"/>
                <w:lang w:eastAsia="zh-CN" w:bidi="ar"/>
              </w:rPr>
              <w:t>）</w:t>
            </w:r>
            <w:r>
              <w:rPr>
                <w:rFonts w:hint="default" w:ascii="Times New Roman" w:hAnsi="Times New Roman" w:eastAsia="方正仿宋_GBK" w:cs="Times New Roman"/>
                <w:sz w:val="21"/>
                <w:szCs w:val="21"/>
                <w:lang w:bidi="ar"/>
              </w:rPr>
              <w:t>、擦手纸</w:t>
            </w:r>
            <w:r>
              <w:rPr>
                <w:rFonts w:hint="default" w:ascii="Times New Roman" w:hAnsi="Times New Roman" w:eastAsia="方正仿宋_GBK" w:cs="Times New Roman"/>
                <w:sz w:val="21"/>
                <w:szCs w:val="21"/>
                <w:lang w:eastAsia="zh-CN" w:bidi="ar"/>
              </w:rPr>
              <w:t>或</w:t>
            </w:r>
            <w:r>
              <w:rPr>
                <w:rFonts w:hint="default" w:ascii="Times New Roman" w:hAnsi="Times New Roman" w:eastAsia="方正仿宋_GBK" w:cs="Times New Roman"/>
                <w:sz w:val="21"/>
                <w:szCs w:val="21"/>
                <w:lang w:bidi="ar"/>
              </w:rPr>
              <w:t>干</w:t>
            </w:r>
            <w:r>
              <w:rPr>
                <w:rFonts w:hint="default" w:ascii="Times New Roman" w:hAnsi="Times New Roman" w:eastAsia="方正仿宋_GBK" w:cs="Times New Roman"/>
                <w:sz w:val="21"/>
                <w:szCs w:val="21"/>
                <w:lang w:eastAsia="zh-CN" w:bidi="ar"/>
              </w:rPr>
              <w:t>手</w:t>
            </w:r>
            <w:r>
              <w:rPr>
                <w:rFonts w:hint="default" w:ascii="Times New Roman" w:hAnsi="Times New Roman" w:eastAsia="方正仿宋_GBK" w:cs="Times New Roman"/>
                <w:sz w:val="21"/>
                <w:szCs w:val="21"/>
                <w:lang w:bidi="ar"/>
              </w:rPr>
              <w:t>器</w:t>
            </w:r>
            <w:r>
              <w:rPr>
                <w:rFonts w:hint="default" w:ascii="Times New Roman" w:hAnsi="Times New Roman" w:eastAsia="方正仿宋_GBK" w:cs="Times New Roman"/>
                <w:sz w:val="21"/>
                <w:szCs w:val="21"/>
                <w:lang w:eastAsia="zh-CN" w:bidi="ar"/>
              </w:rPr>
              <w:t>、</w:t>
            </w:r>
            <w:r>
              <w:rPr>
                <w:rFonts w:hint="default" w:ascii="Times New Roman" w:hAnsi="Times New Roman" w:eastAsia="方正仿宋_GBK" w:cs="Times New Roman"/>
                <w:sz w:val="21"/>
                <w:szCs w:val="21"/>
                <w:lang w:bidi="ar"/>
              </w:rPr>
              <w:t>挂物勾等</w:t>
            </w:r>
            <w:r>
              <w:rPr>
                <w:rFonts w:hint="default" w:ascii="Times New Roman" w:hAnsi="Times New Roman" w:eastAsia="方正仿宋_GBK" w:cs="Times New Roman"/>
                <w:sz w:val="21"/>
                <w:szCs w:val="21"/>
                <w:lang w:val="en-US" w:eastAsia="zh-CN" w:bidi="ar"/>
              </w:rPr>
              <w:t>（3分）；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—员工与客人使用卫生间应分设（3分）；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—应定时清洁卫生间，并做好记录（2分）；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20</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3.1.2 明厨亮灶（15分）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—餐饮单位应采用透明厨房、视频厨房、互联网厨房等方式实现明厨亮灶，向公众展示餐饮烹饪及服务相关过程。</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15</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90"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3.1.3菜品标准化</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（18分）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3.1.3.1 —餐饮单位宜建立厨师级别晋升考核机制，充分调动厨师的主动性和积极性，提升技术水平，保证菜品质量及标准化程度。（3分）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—宜保持与晋升制度相适宜的培训、考核、晋升等的相关记录加以证明。（2分）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5</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3.1.3.2 餐饮单位应根据菜品的特点，分别编制菜品加工操作规范，包括但不限于主/辅料初加工、半成品加工、菜品分配和菜品烹调及出品等工序，标准化工艺流程。</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5</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3.1.3.3 菜品加工人员应按照操作规范要求严格操作，各工序分工明确，主料、配料专人加工切配，明示投料标准、主料过称，确保菜品质量和稳定性。</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5</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3.1.3.4 宜设立专门人员对菜品制作过程及最终出品质量进行监督与检查。</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88" w:hRule="atLeast"/>
          <w:jc w:val="center"/>
        </w:trPr>
        <w:tc>
          <w:tcPr>
            <w:tcW w:w="1842"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3.1.4反餐饮浪费措施（20分）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餐饮单位应积极开展反餐饮浪费行动，响应光盘行动，减少食物浪费现象，包括但不限于：</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—在餐饮服务场所醒目位置张贴或者摆放节约食物、文明用餐、杜绝浪费等标识标牌；（3分）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—明示服务项目和收费标准，不得设置最低消费额；（2分）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—不得误导、诱导消费者过量点餐，在订餐、点餐、加餐等环节提醒消费者适度点餐，发现消费者明显过量点餐的，主动进行提醒劝告；（2分）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—根据消费者需求可以提供小份、小量组合等不同规格、不同份量符合节约要求的餐品；（3分）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—餐饮</w:t>
            </w:r>
            <w:r>
              <w:rPr>
                <w:rFonts w:hint="eastAsia" w:ascii="Times New Roman" w:hAnsi="Times New Roman" w:eastAsia="方正仿宋_GBK" w:cs="Times New Roman"/>
                <w:i w:val="0"/>
                <w:iCs w:val="0"/>
                <w:kern w:val="2"/>
                <w:sz w:val="21"/>
                <w:szCs w:val="21"/>
                <w:u w:val="none"/>
                <w:lang w:val="en-US" w:eastAsia="zh-CN" w:bidi="ar"/>
              </w:rPr>
              <w:t>单位</w:t>
            </w:r>
            <w:r>
              <w:rPr>
                <w:rFonts w:hint="default" w:ascii="Times New Roman" w:hAnsi="Times New Roman" w:eastAsia="方正仿宋_GBK" w:cs="Times New Roman"/>
                <w:i w:val="0"/>
                <w:iCs w:val="0"/>
                <w:kern w:val="2"/>
                <w:sz w:val="21"/>
                <w:szCs w:val="21"/>
                <w:u w:val="none"/>
                <w:lang w:val="en-US" w:eastAsia="zh-CN" w:bidi="ar"/>
              </w:rPr>
              <w:t>在菜单上标注餐品名称、份量、口味、建议用餐人数等信息；（3分）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—推行聚餐分餐制，提供公筷、公勺，减少提供一次性餐具；（3分）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—在消费者用餐后提示消费者打包剩余饭菜，配备卫生环保的餐盒、餐袋等用具，免费提供打包服务；（2分）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—餐饮单位宜通过光盘优惠、光盘积分、停车优惠等方式对配合反餐饮浪费行为的消费者进行奖励。（2分）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20</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74" w:hRule="atLeast"/>
          <w:jc w:val="center"/>
        </w:trPr>
        <w:tc>
          <w:tcPr>
            <w:tcW w:w="1842"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3.1.5 应急预案（10分）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餐饮单位应建立应对可能发生潜在食品安全事故或消防安全事故等其他紧急情况的应急程序和预案，确保发生应急事件时，能采取以下措施：</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 xml:space="preserve">—立即停止生产经营活动，并向主管部门报告； </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—保留造成食物中毒或可能导致食物中毒的食品及原料、工具、设备和现场，并追回造成食物中毒或可能导致食物中毒的食品；</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—有序疏散人员，并降低人员生命健康及财产安全；</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—配合相关部门进行溯源和追踪调查；</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—落实相关部门要求采取的其他控制措施；</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10</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47" w:hRule="atLeast"/>
          <w:jc w:val="center"/>
        </w:trPr>
        <w:tc>
          <w:tcPr>
            <w:tcW w:w="1842" w:type="dxa"/>
            <w:vMerge w:val="restart"/>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3.1.6 投诉处理（10分）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3.1.6.1 餐饮单位应建立面向顾客的投诉处理机制，可包括但不限于:</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—接待客户投诉态度真诚，准确记录投诉人姓名，投诉事由，及时处理不推诿（1分）；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—在合理或承诺的期限内完成投诉处理</w:t>
            </w:r>
            <w:r>
              <w:rPr>
                <w:rFonts w:hint="eastAsia"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sz w:val="21"/>
                <w:szCs w:val="21"/>
                <w:lang w:val="en-US" w:eastAsia="zh-CN" w:bidi="ar"/>
              </w:rPr>
              <w:t>投诉处理的结果应及时反馈给投诉者（2分）；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—所有投诉应有记录</w:t>
            </w:r>
            <w:r>
              <w:rPr>
                <w:rFonts w:hint="eastAsia"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sz w:val="21"/>
                <w:szCs w:val="21"/>
                <w:lang w:val="en-US" w:eastAsia="zh-CN" w:bidi="ar"/>
              </w:rPr>
              <w:t>并可提供投诉处理的进度查询（1分）。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4</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0"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3.1.6.2 餐饮单位应建立投诉处理相关制度，包括但不限于：</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—服务补救方针；</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—道歉和承诺方案；</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—服务失误分析和分类，服务补救期望甄别；</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—紧急行动方案（含补偿）；</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—服务补救结果评价。</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4</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3.1.6.3 在就餐区公布投诉举报电话。</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04" w:hRule="atLeast"/>
          <w:jc w:val="center"/>
        </w:trPr>
        <w:tc>
          <w:tcPr>
            <w:tcW w:w="1842"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3.1.7节能减排降耗（20分）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餐饮单位宜制定绿色环保发展路线，逐步推进节能减排降耗等措施的落实，包括但不限于以下：</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—制定节能减排降耗相关管理制度；（5分）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—制定节能减排目标及方案；（5分）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—定期进行培训宣贯及日常检查，并保留相关培训及检查记录；（5分）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—使用清洁燃料及低耗能设备设施、减少一次性餐饮用具的使用等；（5分）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20</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4102" w:type="dxa"/>
            <w:gridSpan w:val="5"/>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eastAsia"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sz w:val="21"/>
                <w:szCs w:val="21"/>
                <w:lang w:val="en-US" w:eastAsia="zh-CN" w:bidi="ar"/>
              </w:rPr>
              <w:t>2品牌建设（80分）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77" w:hRule="atLeast"/>
          <w:jc w:val="center"/>
        </w:trPr>
        <w:tc>
          <w:tcPr>
            <w:tcW w:w="1842"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3.2.1品牌建设</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（80分）</w:t>
            </w:r>
          </w:p>
        </w:tc>
        <w:tc>
          <w:tcPr>
            <w:tcW w:w="804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3.2.1 餐饮单位宜制定并实施品牌建设和管理制度，制定品牌战略和规划，并配制资源开展品牌宣传，维护品牌形象，包括但不限于以下：</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—在目前所在位置连续经营满10年以上20年以下的（5分）；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—在目前所在位置连续经营满20年以上的（5分）；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—拥有自主品牌商标所有权且在有效期内（5分）；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—拥有私域宣传推广及服务平台，可定期推送相关饮食文化、美食介绍、新品发布等内容；（5分）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—获得区级政府颁发的相关品牌认可，如地方老字号、非物质文化遗产名录等荣誉（5分）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—获得市级及以上政府颁发的相关品牌认可，如地方老字号、非物质文化遗产名录等荣誉（10分）；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—拥有非遗传承人、中国烹饪名师、大师等知名大厨（10分）；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—企业责任（安置员工人数、公益慈善等）（5分）；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—弘扬或传承饮食文化（开设博物馆、展览馆、体验馆、专题展销等）（10分）；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—品牌创新或服务创新所采取的其他措施可酌情加分（20分）。</w:t>
            </w:r>
          </w:p>
        </w:tc>
        <w:tc>
          <w:tcPr>
            <w:tcW w:w="1120" w:type="dxa"/>
            <w:shd w:val="clear" w:color="auto" w:fill="FFFFFF"/>
            <w:noWrap w:val="0"/>
            <w:vAlign w:val="center"/>
          </w:tcPr>
          <w:p>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80</w:t>
            </w:r>
          </w:p>
        </w:tc>
        <w:tc>
          <w:tcPr>
            <w:tcW w:w="14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c>
          <w:tcPr>
            <w:tcW w:w="1700" w:type="dxa"/>
            <w:shd w:val="clear" w:color="auto" w:fill="FFFFFF"/>
            <w:noWrap w:val="0"/>
            <w:vAlign w:val="center"/>
          </w:tcPr>
          <w:p>
            <w:pPr>
              <w:rPr>
                <w:rFonts w:hint="default" w:ascii="Times New Roman" w:hAnsi="Times New Roman" w:eastAsia="方正仿宋_GBK" w:cs="Times New Roman"/>
                <w:i w:val="0"/>
                <w:iCs w:val="0"/>
                <w:sz w:val="21"/>
                <w:szCs w:val="21"/>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13047B08"/>
    <w:rsid w:val="13047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2023-10-19T03:36:00Z</dcterms:created>
  <dc:creator>叶菲</dc:creator>
  <cp:lastModifiedBy>叶菲</cp:lastModifiedBy>
  <dcterms:modified xsi:type="dcterms:W3CDTF">2023-10-19T03:37:15Z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3E9262BD55F14EA98ED84A97A22A0A81_11</vt:lpwstr>
  </property>
</Properties>
</file>