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96"/>
        </w:tabs>
        <w:jc w:val="both"/>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5</w:t>
      </w:r>
    </w:p>
    <w:p>
      <w:pPr>
        <w:tabs>
          <w:tab w:val="left" w:pos="7296"/>
        </w:tabs>
        <w:jc w:val="both"/>
        <w:rPr>
          <w:rFonts w:hint="eastAsia" w:ascii="方正小标宋_GBK" w:hAnsi="方正小标宋_GBK" w:eastAsia="方正小标宋_GBK" w:cs="方正小标宋_GBK"/>
          <w:b w:val="0"/>
          <w:bCs/>
          <w:sz w:val="44"/>
          <w:szCs w:val="44"/>
          <w:lang w:eastAsia="zh-CN"/>
        </w:rPr>
      </w:pPr>
    </w:p>
    <w:p>
      <w:pPr>
        <w:tabs>
          <w:tab w:val="left" w:pos="7296"/>
        </w:tabs>
        <w:jc w:val="both"/>
        <w:rPr>
          <w:rFonts w:hint="eastAsia" w:ascii="方正小标宋_GBK" w:hAnsi="方正小标宋_GBK" w:eastAsia="方正小标宋_GBK" w:cs="方正小标宋_GBK"/>
          <w:b w:val="0"/>
          <w:bCs/>
          <w:sz w:val="44"/>
          <w:szCs w:val="44"/>
          <w:lang w:eastAsia="zh-CN"/>
        </w:rPr>
      </w:pPr>
    </w:p>
    <w:p>
      <w:pPr>
        <w:tabs>
          <w:tab w:val="left" w:pos="7296"/>
        </w:tabs>
        <w:jc w:val="both"/>
        <w:rPr>
          <w:rFonts w:hint="eastAsia" w:ascii="方正小标宋_GBK" w:hAnsi="方正小标宋_GBK" w:eastAsia="方正小标宋_GBK" w:cs="方正小标宋_GBK"/>
          <w:b w:val="0"/>
          <w:bCs/>
          <w:sz w:val="44"/>
          <w:szCs w:val="44"/>
          <w:lang w:eastAsia="zh-CN"/>
        </w:rPr>
      </w:pPr>
    </w:p>
    <w:p>
      <w:pPr>
        <w:tabs>
          <w:tab w:val="left" w:pos="7296"/>
        </w:tabs>
        <w:jc w:val="center"/>
        <w:rPr>
          <w:rFonts w:hint="eastAsia" w:ascii="方正小标宋_GBK" w:hAnsi="方正小标宋_GBK" w:eastAsia="方正小标宋_GBK" w:cs="方正小标宋_GBK"/>
          <w:b w:val="0"/>
          <w:bCs/>
          <w:sz w:val="44"/>
          <w:szCs w:val="44"/>
        </w:rPr>
      </w:pPr>
      <w:bookmarkStart w:id="0" w:name="_GoBack"/>
      <w:r>
        <w:rPr>
          <w:rFonts w:hint="eastAsia" w:ascii="方正小标宋_GBK" w:hAnsi="方正小标宋_GBK" w:eastAsia="方正小标宋_GBK" w:cs="方正小标宋_GBK"/>
          <w:b w:val="0"/>
          <w:bCs/>
          <w:sz w:val="44"/>
          <w:szCs w:val="44"/>
          <w:lang w:eastAsia="zh-CN"/>
        </w:rPr>
        <w:t>广州市</w:t>
      </w:r>
      <w:r>
        <w:rPr>
          <w:rFonts w:hint="eastAsia" w:ascii="方正小标宋_GBK" w:hAnsi="方正小标宋_GBK" w:eastAsia="方正小标宋_GBK" w:cs="方正小标宋_GBK"/>
          <w:b w:val="0"/>
          <w:bCs/>
          <w:sz w:val="44"/>
          <w:szCs w:val="44"/>
        </w:rPr>
        <w:t>“食在广州”评价认证实施规则</w:t>
      </w:r>
    </w:p>
    <w:p>
      <w:pPr>
        <w:tabs>
          <w:tab w:val="left" w:pos="7296"/>
        </w:tabs>
        <w:jc w:val="center"/>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（预包装食品类）</w:t>
      </w:r>
    </w:p>
    <w:bookmarkEnd w:id="0"/>
    <w:p>
      <w:pPr>
        <w:tabs>
          <w:tab w:val="left" w:pos="7296"/>
        </w:tabs>
        <w:jc w:val="center"/>
        <w:rPr>
          <w:rFonts w:eastAsia="仿宋_GB2312" w:cs="仿宋_GB2312"/>
          <w:b/>
          <w:sz w:val="32"/>
          <w:szCs w:val="32"/>
        </w:rPr>
      </w:pPr>
    </w:p>
    <w:p>
      <w:pPr>
        <w:tabs>
          <w:tab w:val="left" w:pos="7296"/>
        </w:tabs>
        <w:jc w:val="center"/>
        <w:rPr>
          <w:rFonts w:eastAsia="仿宋_GB2312" w:cs="仿宋_GB2312"/>
          <w:b/>
          <w:sz w:val="32"/>
          <w:szCs w:val="32"/>
        </w:rPr>
      </w:pPr>
    </w:p>
    <w:p>
      <w:pPr>
        <w:tabs>
          <w:tab w:val="left" w:pos="7296"/>
        </w:tabs>
        <w:jc w:val="center"/>
        <w:rPr>
          <w:rFonts w:eastAsia="仿宋_GB2312" w:cs="仿宋_GB2312"/>
          <w:b/>
          <w:sz w:val="32"/>
          <w:szCs w:val="32"/>
        </w:rPr>
      </w:pPr>
    </w:p>
    <w:p>
      <w:pPr>
        <w:tabs>
          <w:tab w:val="left" w:pos="7296"/>
        </w:tabs>
        <w:jc w:val="center"/>
        <w:rPr>
          <w:rFonts w:eastAsia="仿宋_GB2312" w:cs="仿宋_GB2312"/>
          <w:b/>
          <w:sz w:val="32"/>
          <w:szCs w:val="32"/>
        </w:rPr>
      </w:pPr>
    </w:p>
    <w:p>
      <w:pPr>
        <w:tabs>
          <w:tab w:val="left" w:pos="7296"/>
        </w:tabs>
        <w:jc w:val="center"/>
        <w:rPr>
          <w:rFonts w:eastAsia="仿宋_GB2312" w:cs="仿宋_GB2312"/>
          <w:b/>
          <w:sz w:val="32"/>
          <w:szCs w:val="32"/>
        </w:rPr>
      </w:pPr>
    </w:p>
    <w:p>
      <w:pPr>
        <w:tabs>
          <w:tab w:val="left" w:pos="7296"/>
        </w:tabs>
        <w:jc w:val="center"/>
        <w:rPr>
          <w:rFonts w:eastAsia="仿宋_GB2312" w:cs="仿宋_GB2312"/>
          <w:b/>
          <w:sz w:val="32"/>
          <w:szCs w:val="32"/>
        </w:rPr>
      </w:pPr>
    </w:p>
    <w:p>
      <w:pPr>
        <w:tabs>
          <w:tab w:val="left" w:pos="7296"/>
        </w:tabs>
        <w:jc w:val="center"/>
        <w:rPr>
          <w:rFonts w:eastAsia="仿宋_GB2312" w:cs="仿宋_GB2312"/>
          <w:b/>
          <w:sz w:val="32"/>
          <w:szCs w:val="32"/>
        </w:rPr>
      </w:pPr>
    </w:p>
    <w:p>
      <w:pPr>
        <w:tabs>
          <w:tab w:val="left" w:pos="7296"/>
        </w:tabs>
        <w:rPr>
          <w:rFonts w:eastAsia="仿宋_GB2312" w:cs="仿宋_GB2312"/>
          <w:b/>
          <w:sz w:val="32"/>
          <w:szCs w:val="32"/>
        </w:rPr>
      </w:pPr>
    </w:p>
    <w:p>
      <w:pPr>
        <w:tabs>
          <w:tab w:val="left" w:pos="7296"/>
        </w:tabs>
        <w:jc w:val="center"/>
        <w:rPr>
          <w:rFonts w:eastAsia="仿宋_GB2312" w:cs="仿宋_GB2312"/>
          <w:b/>
          <w:sz w:val="32"/>
          <w:szCs w:val="32"/>
        </w:rPr>
      </w:pPr>
    </w:p>
    <w:p>
      <w:pPr>
        <w:tabs>
          <w:tab w:val="left" w:pos="7296"/>
        </w:tabs>
        <w:jc w:val="center"/>
        <w:rPr>
          <w:rFonts w:eastAsia="仿宋_GB2312" w:cs="仿宋_GB2312"/>
          <w:b/>
          <w:sz w:val="32"/>
          <w:szCs w:val="32"/>
        </w:rPr>
      </w:pPr>
    </w:p>
    <w:p>
      <w:pPr>
        <w:tabs>
          <w:tab w:val="left" w:pos="7296"/>
        </w:tabs>
        <w:jc w:val="center"/>
        <w:rPr>
          <w:rFonts w:eastAsia="仿宋_GB2312" w:cs="仿宋_GB2312"/>
          <w:b/>
          <w:sz w:val="32"/>
          <w:szCs w:val="32"/>
        </w:rPr>
      </w:pPr>
    </w:p>
    <w:p>
      <w:pPr>
        <w:tabs>
          <w:tab w:val="left" w:pos="7296"/>
        </w:tabs>
        <w:jc w:val="center"/>
        <w:rPr>
          <w:rFonts w:eastAsia="仿宋_GB2312" w:cs="仿宋_GB2312"/>
          <w:b/>
          <w:sz w:val="32"/>
          <w:szCs w:val="32"/>
        </w:rPr>
      </w:pPr>
    </w:p>
    <w:p>
      <w:pPr>
        <w:keepNext w:val="0"/>
        <w:keepLines w:val="0"/>
        <w:widowControl w:val="0"/>
        <w:suppressLineNumbers w:val="0"/>
        <w:spacing w:before="0" w:beforeAutospacing="0" w:after="0" w:afterAutospacing="0"/>
        <w:ind w:left="0" w:right="0"/>
        <w:jc w:val="both"/>
        <w:rPr>
          <w:rFonts w:hint="eastAsia" w:ascii="方正楷体_GBK" w:hAnsi="方正楷体_GBK" w:eastAsia="方正楷体_GBK" w:cs="方正楷体_GBK"/>
          <w:b w:val="0"/>
          <w:bCs/>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 w:val="0"/>
          <w:bCs/>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 w:val="0"/>
          <w:bCs/>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 w:val="0"/>
          <w:bCs/>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 w:val="0"/>
          <w:bCs/>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 w:val="0"/>
          <w:bCs/>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 w:val="0"/>
          <w:bCs/>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 w:val="0"/>
          <w:bCs/>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 w:val="0"/>
          <w:bCs/>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val="0"/>
          <w:bCs/>
          <w:kern w:val="2"/>
          <w:sz w:val="32"/>
          <w:szCs w:val="32"/>
          <w:lang w:val="en-US" w:eastAsia="zh-CN" w:bidi="ar"/>
        </w:rPr>
        <w:t>广州市市场监督管理局发布</w:t>
      </w:r>
    </w:p>
    <w:p>
      <w:pPr>
        <w:jc w:val="center"/>
        <w:rPr>
          <w:rFonts w:hint="eastAsia" w:ascii="方正小标宋_GBK" w:hAnsi="方正小标宋_GBK" w:eastAsia="方正小标宋_GBK" w:cs="方正小标宋_GBK"/>
          <w:b w:val="0"/>
          <w:bCs/>
          <w:sz w:val="44"/>
          <w:szCs w:val="44"/>
        </w:rPr>
      </w:pPr>
      <w:r>
        <w:rPr>
          <w:rFonts w:hint="eastAsia" w:eastAsia="仿宋_GB2312" w:cs="仿宋_GB2312"/>
          <w:b/>
          <w:sz w:val="44"/>
          <w:szCs w:val="44"/>
        </w:rPr>
        <w:br w:type="page"/>
      </w:r>
      <w:r>
        <w:rPr>
          <w:rFonts w:hint="eastAsia" w:ascii="方正小标宋_GBK" w:hAnsi="方正小标宋_GBK" w:eastAsia="方正小标宋_GBK" w:cs="方正小标宋_GBK"/>
          <w:b w:val="0"/>
          <w:bCs/>
          <w:sz w:val="44"/>
          <w:szCs w:val="44"/>
        </w:rPr>
        <w:t>目  录</w:t>
      </w:r>
    </w:p>
    <w:p>
      <w:pPr>
        <w:spacing w:line="440" w:lineRule="exact"/>
        <w:jc w:val="center"/>
        <w:rPr>
          <w:rFonts w:hint="eastAsia" w:ascii="方正小标宋_GBK" w:hAnsi="方正小标宋_GBK" w:eastAsia="方正小标宋_GBK" w:cs="方正小标宋_GBK"/>
          <w:b w:val="0"/>
          <w:bCs/>
          <w:sz w:val="44"/>
          <w:szCs w:val="44"/>
        </w:rPr>
      </w:pPr>
    </w:p>
    <w:p>
      <w:pPr>
        <w:tabs>
          <w:tab w:val="left" w:leader="dot" w:pos="9660"/>
        </w:tabs>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适用范围</w:t>
      </w:r>
    </w:p>
    <w:p>
      <w:pPr>
        <w:tabs>
          <w:tab w:val="left" w:leader="dot" w:pos="9660"/>
        </w:tabs>
        <w:spacing w:line="44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认证模式</w:t>
      </w:r>
    </w:p>
    <w:p>
      <w:pPr>
        <w:tabs>
          <w:tab w:val="left" w:leader="dot" w:pos="9660"/>
        </w:tabs>
        <w:spacing w:line="44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认证依据</w:t>
      </w:r>
    </w:p>
    <w:p>
      <w:pPr>
        <w:tabs>
          <w:tab w:val="left" w:leader="dot" w:pos="9660"/>
        </w:tabs>
        <w:spacing w:line="44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认证程序</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4.1认证申请</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 认证受理</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 初始检查</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 产品检验</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 认证决定</w:t>
      </w:r>
    </w:p>
    <w:p>
      <w:pPr>
        <w:tabs>
          <w:tab w:val="left" w:leader="dot" w:pos="9660"/>
        </w:tabs>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认证证书</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 认证证书的内容</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 认证证书的保持</w:t>
      </w:r>
    </w:p>
    <w:p>
      <w:pPr>
        <w:tabs>
          <w:tab w:val="left" w:leader="dot" w:pos="9660"/>
        </w:tabs>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获证后的监督</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6.1 监督检查的频次</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 监督检查内容</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6.3 申请单位保证能力监督检查</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6.4 产品一致性监督检查</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 监督检查人日</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6.6 产品监督抽样检验</w:t>
      </w:r>
    </w:p>
    <w:p>
      <w:pPr>
        <w:tabs>
          <w:tab w:val="left" w:leader="dot" w:pos="9660"/>
        </w:tabs>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 认证证书的变更</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 认证证书的变更</w:t>
      </w:r>
    </w:p>
    <w:p>
      <w:pPr>
        <w:tabs>
          <w:tab w:val="left" w:leader="dot" w:pos="9660"/>
        </w:tabs>
        <w:spacing w:line="44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7.2 认证范围的扩大</w:t>
      </w:r>
    </w:p>
    <w:p>
      <w:pPr>
        <w:tabs>
          <w:tab w:val="left" w:leader="dot" w:pos="9660"/>
        </w:tabs>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 认证证书的管理</w:t>
      </w:r>
    </w:p>
    <w:p>
      <w:pPr>
        <w:tabs>
          <w:tab w:val="left" w:leader="dot" w:pos="9660"/>
        </w:tabs>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9认证标志</w:t>
      </w:r>
    </w:p>
    <w:p>
      <w:pPr>
        <w:tabs>
          <w:tab w:val="left" w:leader="dot" w:pos="9660"/>
        </w:tabs>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 附则</w:t>
      </w:r>
    </w:p>
    <w:p>
      <w:pPr>
        <w:tabs>
          <w:tab w:val="left" w:leader="dot" w:pos="9660"/>
          <w:tab w:val="left" w:leader="dot" w:pos="9870"/>
        </w:tabs>
        <w:spacing w:line="44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1 申请单位保证能力要求</w:t>
      </w:r>
    </w:p>
    <w:p>
      <w:pPr>
        <w:tabs>
          <w:tab w:val="left" w:leader="dot" w:pos="9660"/>
          <w:tab w:val="left" w:leader="dot" w:pos="9870"/>
        </w:tabs>
        <w:spacing w:line="44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 xml:space="preserve">2 </w:t>
      </w:r>
      <w:r>
        <w:rPr>
          <w:rFonts w:hint="default" w:ascii="Times New Roman" w:hAnsi="Times New Roman" w:eastAsia="方正仿宋_GBK" w:cs="Times New Roman"/>
          <w:sz w:val="32"/>
          <w:szCs w:val="32"/>
          <w:lang w:eastAsia="zh-CN"/>
        </w:rPr>
        <w:t>广州市</w:t>
      </w:r>
      <w:r>
        <w:rPr>
          <w:rFonts w:hint="default" w:ascii="Times New Roman" w:hAnsi="Times New Roman" w:eastAsia="方正仿宋_GBK" w:cs="Times New Roman"/>
          <w:sz w:val="32"/>
          <w:szCs w:val="32"/>
        </w:rPr>
        <w:t>“食在广州”认证评价指标及分值分布</w:t>
      </w:r>
    </w:p>
    <w:p>
      <w:pPr>
        <w:tabs>
          <w:tab w:val="left" w:leader="dot" w:pos="9660"/>
          <w:tab w:val="left" w:leader="dot" w:pos="9870"/>
        </w:tabs>
        <w:ind w:firstLine="560" w:firstLineChars="200"/>
        <w:jc w:val="left"/>
        <w:rPr>
          <w:rFonts w:hint="default" w:ascii="Times New Roman" w:hAnsi="Times New Roman" w:eastAsia="方正仿宋_GBK" w:cs="Times New Roman"/>
          <w:sz w:val="28"/>
          <w:szCs w:val="28"/>
        </w:rPr>
        <w:sectPr>
          <w:headerReference r:id="rId3" w:type="default"/>
          <w:footerReference r:id="rId4" w:type="default"/>
          <w:pgSz w:w="11905" w:h="16838"/>
          <w:pgMar w:top="1701" w:right="1587" w:bottom="1701" w:left="1587" w:header="0" w:footer="1417" w:gutter="0"/>
          <w:pgNumType w:fmt="decimal"/>
          <w:cols w:space="720" w:num="1"/>
          <w:titlePg/>
          <w:rtlGutter w:val="0"/>
          <w:docGrid w:linePitch="287" w:charSpace="0"/>
        </w:sectPr>
      </w:pPr>
    </w:p>
    <w:p>
      <w:pPr>
        <w:widowControl/>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 适用范围</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本规则适用于有评价认证技术规范的预包装食品类“食在广州”评价认证。</w:t>
      </w:r>
    </w:p>
    <w:p>
      <w:pPr>
        <w:tabs>
          <w:tab w:val="left" w:pos="7296"/>
        </w:tabs>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 认证模式</w:t>
      </w:r>
    </w:p>
    <w:p>
      <w:pPr>
        <w:ind w:firstLine="54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初始检查+产品抽样检验+获证后监督</w:t>
      </w:r>
    </w:p>
    <w:p>
      <w:pPr>
        <w:tabs>
          <w:tab w:val="left" w:pos="7296"/>
        </w:tabs>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 认证依据</w:t>
      </w:r>
    </w:p>
    <w:p>
      <w:pPr>
        <w:tabs>
          <w:tab w:val="left" w:pos="7296"/>
        </w:tabs>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广州市</w:t>
      </w:r>
      <w:r>
        <w:rPr>
          <w:rFonts w:hint="default" w:ascii="Times New Roman" w:hAnsi="Times New Roman" w:eastAsia="方正仿宋_GBK" w:cs="Times New Roman"/>
          <w:sz w:val="32"/>
          <w:szCs w:val="32"/>
        </w:rPr>
        <w:t>“食在广州”评价认证实施规则（预包装食品类）</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广州市</w:t>
      </w:r>
      <w:r>
        <w:rPr>
          <w:rFonts w:hint="default" w:ascii="Times New Roman" w:hAnsi="Times New Roman" w:eastAsia="方正仿宋_GBK" w:cs="Times New Roman"/>
          <w:sz w:val="32"/>
          <w:szCs w:val="32"/>
        </w:rPr>
        <w:t>“食在广州”评价认证技术规范（预包装食品类）</w:t>
      </w:r>
    </w:p>
    <w:p>
      <w:pPr>
        <w:tabs>
          <w:tab w:val="left" w:pos="7296"/>
        </w:tabs>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 认证程序</w:t>
      </w:r>
    </w:p>
    <w:p>
      <w:p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4.1 认证申请</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4.1.1 申请单位应具备以下条件：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（1）取得国家、地方市场监督管理部门或有关机构注册登记的法人资格（或其组成部分）；</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（2）已取得相关法规规定的行政许可；</w:t>
      </w:r>
    </w:p>
    <w:p>
      <w:pPr>
        <w:adjustRightInd w:val="0"/>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（3）未列入国家信用信息严重失信主体相关名录；</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（4）经营业务范围符合相关法律法规、标准和规范的要求；</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（5）3年内无各类重大事故及严重违法违规记录；</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（6）3年内未因食品安全事故、违反国家食品安全管理相关法规或虚报、瞒报获证所需信息，而被认证机构撤销认证证书。</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（7）已通过食品安全管理体系、危害分析与关键控制点HACCP体系认证或其他与食品安全相关的管理体系认证。</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4.1.2 认证单元划分</w:t>
      </w:r>
    </w:p>
    <w:p>
      <w:pPr>
        <w:ind w:firstLine="55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类别相同、加工工艺相似、产品标准相同的产品可划分为同一单元。</w:t>
      </w:r>
    </w:p>
    <w:p>
      <w:pPr>
        <w:ind w:firstLine="55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申请单位应按单元进行申请认证。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4.1.3 申请单位提交以下文件和资料:</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（1）认证申请书；</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（2）法律地位证明文件（如营业执照复印件）；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（3）申请认证范围所涉及的法律法规要求的行政许可证明文件（如食品生产许可证）；</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（4）关键原材料清单；</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（5）认证产品图片；</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（6）已通过食品安全管理体系、危害分析与关键控制点HACCP体系认证或其他与食品安全相关的管理体系认证证书复印件；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（7）产品符合相应产品标准的报告（具备CMA资质实验室出具，一年内报告）； </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（8）品牌战略及规划文件、品牌管理制度或文件；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（9）品牌成果证明材料（如自主品牌商标证明、获得市级及以上政府颁发的品牌认可证明、产品的生产技艺列入市级及以上非物质文化遗产名录证明等）；</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（10）获得政府相关部门及媒体肯定的证明材料（如荣誉证书、称号、媒体报道等）；</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（11）质量管理程序文件目录；</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（12）主持或参与国际、国内先进标准的制（修）订证明；</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（13）3年内参与国家、省、市、区等各级质量提升活动的证明；</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（14）创新战略及实施计划文件；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（15）关键环节自主知识产权和（或）技术成果证明（如：发明专利、著作权、实用新型专利、专精特新认定证明、高新企业认证证明等）；</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（16）3年内主持或参与完成区级或以上科技创新项目、区级或以上科技创新项目奖励证明（科技项目奖项、承担课题证明等）；</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（17）创新激励机制证明文件；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（18）3年内科技成果转化或先进服务模式应用成功案例；</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（19）信用和合规管理制度或文件，第三方机构出具的有效的信用等级证明（如有）；</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（20）申请单位在绿色发展方面承担责任的证明（如绿色生产证书、清洁生产证书、0碳工厂认证证书、环境管理体系证书、能源管理体系证书、企业内部制定的绿色发展方面规划文件等）；</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（21）企业积极履行社会责任证明文件（如职业健康管理体系证书、参与公益事业、社会救助等）；</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（22）客户服务管理制度或文件；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（23）服务质量提升制度或文件；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（24）缺陷产品召回、处理制度或文件；</w:t>
      </w:r>
    </w:p>
    <w:p>
      <w:pPr>
        <w:ind w:firstLine="640"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（25）客户投诉管理制度或文件。</w:t>
      </w:r>
    </w:p>
    <w:p>
      <w:p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4.2 认证受理</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机构收到申请材料后，依据相关评审要求对申请材料进行符合性审核，如申请材料不符合要求，应通知申请单位补充完善。资料齐全后，在3个工作日内发出受理或不予受理通知。受理时，认证机构与申请单位签订认证协议。</w:t>
      </w:r>
    </w:p>
    <w:p>
      <w:p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 初始检查</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4.3.1  初始检查内容</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初始检查内容为申请单位保证能力检查和产品一致性检查。现场检查应覆盖申请认证的所有产品和生产场所。</w:t>
      </w:r>
    </w:p>
    <w:p>
      <w:pPr>
        <w:ind w:firstLine="54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现场检查时，申请单位应正常生产申请认证范围内的一种或一种以上产品。</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4.3.2 申请单位保证能力检查</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申请单位保证能力检查应覆盖所有认证单元涉及的加工场所，并按本规则附件2《申请单位保证能力要求》进行全要素检查，必要时，认证机构可根据申请单位实际情况安排对申请单位以外的场所实施延伸检查。</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4.3.3  产品一致性检查</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现场检查时，应在生产现场对申请认证的产品进行一致性检查。一致性检查通常包括以下内容：</w:t>
      </w:r>
    </w:p>
    <w:p>
      <w:pPr>
        <w:numPr>
          <w:ilvl w:val="0"/>
          <w:numId w:val="1"/>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认证产品与申请材料的一致性；</w:t>
      </w:r>
    </w:p>
    <w:p>
      <w:pPr>
        <w:numPr>
          <w:ilvl w:val="0"/>
          <w:numId w:val="1"/>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认证产品标签和包装上所标明的信息与申请材料、检验报告的一致性。</w:t>
      </w:r>
    </w:p>
    <w:p>
      <w:pPr>
        <w:ind w:left="54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初始检查时，产品一致性检查应覆盖所有产品单元。</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4.3.4 检查人日数</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检查人日数按附表1执行。</w:t>
      </w:r>
    </w:p>
    <w:p>
      <w:pPr>
        <w:ind w:firstLine="4160" w:firstLineChars="1300"/>
        <w:rPr>
          <w:rFonts w:hint="default" w:ascii="Times New Roman" w:hAnsi="Times New Roman" w:eastAsia="方正仿宋_GBK" w:cs="Times New Roman"/>
          <w:sz w:val="32"/>
          <w:szCs w:val="32"/>
        </w:rPr>
      </w:pPr>
    </w:p>
    <w:p>
      <w:pPr>
        <w:ind w:firstLine="0" w:firstLineChars="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附表1 人日数核算表</w:t>
      </w:r>
    </w:p>
    <w:tbl>
      <w:tblPr>
        <w:tblStyle w:val="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2055"/>
        <w:gridCol w:w="2160"/>
        <w:gridCol w:w="204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36" w:type="dxa"/>
            <w:vMerge w:val="restart"/>
            <w:noWrap w:val="0"/>
            <w:vAlign w:val="top"/>
          </w:tcPr>
          <w:p>
            <w:pPr>
              <w:snapToGrid w:val="0"/>
              <w:jc w:val="center"/>
              <w:rPr>
                <w:rFonts w:hint="default" w:ascii="Times New Roman" w:hAnsi="Times New Roman" w:eastAsia="方正仿宋_GBK" w:cs="Times New Roman"/>
                <w:sz w:val="24"/>
                <w:szCs w:val="24"/>
              </w:rPr>
            </w:pPr>
          </w:p>
          <w:p>
            <w:pPr>
              <w:snapToGrid w:val="0"/>
              <w:jc w:val="center"/>
              <w:rPr>
                <w:rFonts w:hint="default" w:ascii="Times New Roman" w:hAnsi="Times New Roman" w:eastAsia="方正仿宋_GBK" w:cs="Times New Roman"/>
                <w:sz w:val="24"/>
                <w:szCs w:val="24"/>
              </w:rPr>
            </w:pPr>
          </w:p>
          <w:p>
            <w:pPr>
              <w:snapToGrid w:val="0"/>
              <w:jc w:val="center"/>
              <w:rPr>
                <w:rFonts w:hint="default" w:ascii="Times New Roman" w:hAnsi="Times New Roman" w:eastAsia="方正仿宋_GBK" w:cs="Times New Roman"/>
                <w:sz w:val="24"/>
                <w:szCs w:val="24"/>
              </w:rPr>
            </w:pPr>
          </w:p>
          <w:p>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企业人数</w:t>
            </w:r>
          </w:p>
          <w:p>
            <w:pPr>
              <w:jc w:val="center"/>
              <w:rPr>
                <w:rFonts w:hint="default" w:ascii="Times New Roman" w:hAnsi="Times New Roman" w:eastAsia="方正仿宋_GBK" w:cs="Times New Roman"/>
                <w:sz w:val="24"/>
                <w:szCs w:val="24"/>
              </w:rPr>
            </w:pPr>
          </w:p>
        </w:tc>
        <w:tc>
          <w:tcPr>
            <w:tcW w:w="4215" w:type="dxa"/>
            <w:gridSpan w:val="2"/>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初始工厂检查（1.5-4人日）</w:t>
            </w:r>
          </w:p>
        </w:tc>
        <w:tc>
          <w:tcPr>
            <w:tcW w:w="4111" w:type="dxa"/>
            <w:gridSpan w:val="2"/>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例行监督检查（1-2人日）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636" w:type="dxa"/>
            <w:vMerge w:val="continue"/>
            <w:noWrap w:val="0"/>
            <w:vAlign w:val="top"/>
          </w:tcPr>
          <w:p>
            <w:pPr>
              <w:jc w:val="center"/>
              <w:rPr>
                <w:rFonts w:hint="default" w:ascii="Times New Roman" w:hAnsi="Times New Roman" w:eastAsia="方正仿宋_GBK" w:cs="Times New Roman"/>
                <w:sz w:val="24"/>
                <w:szCs w:val="24"/>
              </w:rPr>
            </w:pPr>
          </w:p>
        </w:tc>
        <w:tc>
          <w:tcPr>
            <w:tcW w:w="2055"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≤2个认证单元</w:t>
            </w:r>
          </w:p>
        </w:tc>
        <w:tc>
          <w:tcPr>
            <w:tcW w:w="2160"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＞2个认证单元</w:t>
            </w:r>
          </w:p>
        </w:tc>
        <w:tc>
          <w:tcPr>
            <w:tcW w:w="2040"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≤2个认证单元</w:t>
            </w:r>
          </w:p>
        </w:tc>
        <w:tc>
          <w:tcPr>
            <w:tcW w:w="2071"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＞2个认证单元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0-50</w:t>
            </w:r>
          </w:p>
        </w:tc>
        <w:tc>
          <w:tcPr>
            <w:tcW w:w="2055"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w:t>
            </w:r>
          </w:p>
        </w:tc>
        <w:tc>
          <w:tcPr>
            <w:tcW w:w="2160"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2040"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2071"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21-200</w:t>
            </w:r>
          </w:p>
        </w:tc>
        <w:tc>
          <w:tcPr>
            <w:tcW w:w="2055"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2160"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2040"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2071"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201-500</w:t>
            </w:r>
          </w:p>
        </w:tc>
        <w:tc>
          <w:tcPr>
            <w:tcW w:w="2055"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2160"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2040"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w:t>
            </w:r>
          </w:p>
        </w:tc>
        <w:tc>
          <w:tcPr>
            <w:tcW w:w="2071"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500以上</w:t>
            </w:r>
          </w:p>
        </w:tc>
        <w:tc>
          <w:tcPr>
            <w:tcW w:w="2055"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2160"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2040"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w:t>
            </w:r>
          </w:p>
        </w:tc>
        <w:tc>
          <w:tcPr>
            <w:tcW w:w="2071"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r>
    </w:tbl>
    <w:p>
      <w:pPr>
        <w:snapToGrid w:val="0"/>
        <w:spacing w:line="360" w:lineRule="auto"/>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备注：每增加一类产品，在上述表格人日数的基础上增加0.5人日；可视产品复杂程度、安全风险程度，适当增减人日数。</w:t>
      </w:r>
    </w:p>
    <w:p>
      <w:p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4.4 产品检验</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1）申请单位应提供认证产品符合相应产品标准的报告（具备CMA资质实验室出具的一年内报告）；</w:t>
      </w:r>
    </w:p>
    <w:p>
      <w:pPr>
        <w:ind w:firstLine="54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2）认证机构实施抽样检验，抽样检验可在现场检查前完成，也可与现场检查同时进行。</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4.4.1 抽样原则</w:t>
      </w:r>
    </w:p>
    <w:p>
      <w:pPr>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抽样检验的样品应在成品库经</w:t>
      </w:r>
      <w:r>
        <w:rPr>
          <w:rFonts w:hint="default" w:ascii="Times New Roman" w:hAnsi="Times New Roman" w:eastAsia="方正仿宋_GBK" w:cs="Times New Roman"/>
          <w:sz w:val="32"/>
          <w:szCs w:val="32"/>
          <w:lang w:val="en-US" w:eastAsia="zh-CN"/>
        </w:rPr>
        <w:t>申请</w:t>
      </w:r>
      <w:r>
        <w:rPr>
          <w:rFonts w:hint="default" w:ascii="Times New Roman" w:hAnsi="Times New Roman" w:eastAsia="方正仿宋_GBK" w:cs="Times New Roman"/>
          <w:sz w:val="32"/>
          <w:szCs w:val="32"/>
        </w:rPr>
        <w:t>单位确认合格的产品中随机抽取，每个认证单元抽取有代表性的产品。</w:t>
      </w:r>
    </w:p>
    <w:p>
      <w:pPr>
        <w:ind w:firstLine="55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抽样活动一般与现场检查同时实施，也可由认证机构单独指派人员到</w:t>
      </w:r>
      <w:r>
        <w:rPr>
          <w:rFonts w:hint="default" w:ascii="Times New Roman" w:hAnsi="Times New Roman" w:eastAsia="方正仿宋_GBK" w:cs="Times New Roman"/>
          <w:sz w:val="32"/>
          <w:szCs w:val="32"/>
          <w:lang w:val="en-US" w:eastAsia="zh-CN"/>
        </w:rPr>
        <w:t>申请</w:t>
      </w:r>
      <w:r>
        <w:rPr>
          <w:rFonts w:hint="default" w:ascii="Times New Roman" w:hAnsi="Times New Roman" w:eastAsia="方正仿宋_GBK" w:cs="Times New Roman"/>
          <w:sz w:val="32"/>
          <w:szCs w:val="32"/>
        </w:rPr>
        <w:t>单位专门进行抽样。</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4.4.2 抽样样品数量</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一般情况下，每一认证单元均应抽样进行检验，必要时进行差异检验。样品数量应能满足检验及留样要求。</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4.4.3 抽样检验标准、项目</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按“食在广州”评价认证技术规范（预包装食品类）执行。</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4.4.4 产品抽样检验</w:t>
      </w:r>
    </w:p>
    <w:p>
      <w:pPr>
        <w:ind w:firstLine="55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产品抽样检验不合格，检验机构出具不合格报告。申请单位对检验结果有异议的，自收到检验结论之日起15个工作日内向认证机构提出复检申请，认证机构在有资质的检验机构中随机确定复检机构复检。</w:t>
      </w:r>
    </w:p>
    <w:p>
      <w:pPr>
        <w:numPr>
          <w:ilvl w:val="0"/>
          <w:numId w:val="0"/>
        </w:numPr>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 xml:space="preserve">4.5 认证决定 </w:t>
      </w:r>
      <w:r>
        <w:rPr>
          <w:rFonts w:hint="default" w:ascii="Times New Roman" w:hAnsi="Times New Roman" w:eastAsia="方正仿宋_GBK" w:cs="Times New Roman"/>
          <w:b/>
          <w:bCs/>
          <w:sz w:val="32"/>
          <w:szCs w:val="32"/>
        </w:rPr>
        <w:t xml:space="preserve">               </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4.5.1 认证结果评价</w:t>
      </w:r>
    </w:p>
    <w:p>
      <w:pPr>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认证机构对产品抽样检验结果、初始检查结论和有关资料/信息进行综合评价，评价合格的原则上应在5个工作日内向申请单位颁发认证证书，每一个认证单元颁发一张证书。</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4.5.2 认证时限</w:t>
      </w:r>
    </w:p>
    <w:p>
      <w:pPr>
        <w:numPr>
          <w:ilvl w:val="0"/>
          <w:numId w:val="0"/>
        </w:numPr>
        <w:ind w:firstLine="54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一般情况下，自受理认证申请起90天内向申请单位出具认证证书。申请单位提供申请材料、样品送检、检验结果复检等时间不计算在内。</w:t>
      </w:r>
    </w:p>
    <w:p>
      <w:pPr>
        <w:numPr>
          <w:ilvl w:val="0"/>
          <w:numId w:val="0"/>
        </w:num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 认证证书</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 认证证书的内容</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认证证书有效期为3年，证书包含以下信息：</w:t>
      </w:r>
    </w:p>
    <w:p>
      <w:pPr>
        <w:pStyle w:val="7"/>
        <w:numPr>
          <w:ilvl w:val="0"/>
          <w:numId w:val="2"/>
        </w:numPr>
        <w:ind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获证</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的名称、服务场所地址；</w:t>
      </w:r>
    </w:p>
    <w:p>
      <w:pPr>
        <w:pStyle w:val="7"/>
        <w:numPr>
          <w:ilvl w:val="0"/>
          <w:numId w:val="2"/>
        </w:numPr>
        <w:ind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认证实施规则；</w:t>
      </w:r>
    </w:p>
    <w:p>
      <w:pPr>
        <w:pStyle w:val="7"/>
        <w:numPr>
          <w:ilvl w:val="0"/>
          <w:numId w:val="2"/>
        </w:numPr>
        <w:ind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认证依据的标准或规范性文件；</w:t>
      </w:r>
    </w:p>
    <w:p>
      <w:pPr>
        <w:pStyle w:val="7"/>
        <w:numPr>
          <w:ilvl w:val="0"/>
          <w:numId w:val="2"/>
        </w:numPr>
        <w:ind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获得认证产品的名称、型号、规格、等级；</w:t>
      </w:r>
    </w:p>
    <w:p>
      <w:pPr>
        <w:pStyle w:val="7"/>
        <w:numPr>
          <w:ilvl w:val="0"/>
          <w:numId w:val="2"/>
        </w:numPr>
        <w:ind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发证日期（即生效日期）和认证有效期或终止日期；</w:t>
      </w:r>
    </w:p>
    <w:p>
      <w:pPr>
        <w:pStyle w:val="7"/>
        <w:numPr>
          <w:ilvl w:val="0"/>
          <w:numId w:val="2"/>
        </w:numPr>
        <w:ind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认证标志；</w:t>
      </w:r>
    </w:p>
    <w:p>
      <w:pPr>
        <w:pStyle w:val="7"/>
        <w:numPr>
          <w:ilvl w:val="0"/>
          <w:numId w:val="2"/>
        </w:numPr>
        <w:ind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证书的编号；</w:t>
      </w:r>
    </w:p>
    <w:p>
      <w:pPr>
        <w:pStyle w:val="7"/>
        <w:numPr>
          <w:ilvl w:val="0"/>
          <w:numId w:val="2"/>
        </w:numPr>
        <w:ind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认证机构名称、地址；</w:t>
      </w:r>
    </w:p>
    <w:p>
      <w:pPr>
        <w:pStyle w:val="7"/>
        <w:numPr>
          <w:ilvl w:val="0"/>
          <w:numId w:val="2"/>
        </w:numPr>
        <w:ind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证书状态的查询方式。</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 认证证书的保持</w:t>
      </w:r>
    </w:p>
    <w:p>
      <w:pPr>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证书的有效性依赖认证</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获证后的监督检查进行管理，监督检查合格的证书获得保持。</w:t>
      </w:r>
    </w:p>
    <w:p>
      <w:pPr>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证书有效性届满，需延期使用的，申请单位应当在认证证书有效期届满前90天内办理申请。</w:t>
      </w:r>
    </w:p>
    <w:p>
      <w:pPr>
        <w:numPr>
          <w:ilvl w:val="0"/>
          <w:numId w:val="0"/>
        </w:num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 获证后的监督</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6.1 监督检查的频次</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通常情况，应在获证后12个月实施首次监督，以后每12个月进行一次监督。</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若发生下列情况时可增加监督频次：</w:t>
      </w:r>
    </w:p>
    <w:p>
      <w:pPr>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（1）认证产品出现质量问题或用户提出投诉，并经查实为持证人责任时；</w:t>
      </w:r>
    </w:p>
    <w:p>
      <w:pPr>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（2）认证机构有足够理由对认证产品与认证产品标准要求的符合性提出质疑时；</w:t>
      </w:r>
    </w:p>
    <w:p>
      <w:pPr>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（3）有足够信息表明申请单位因组织机构、生产条件、申请单位保证体系等变更可能影响产品符合性或一致性时。</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 监督检查内容</w:t>
      </w:r>
    </w:p>
    <w:p>
      <w:pPr>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每次监督应覆盖所有生产场所，并覆盖全部有效证书。监督检查内容应包括：</w:t>
      </w:r>
    </w:p>
    <w:p>
      <w:pPr>
        <w:numPr>
          <w:ilvl w:val="0"/>
          <w:numId w:val="3"/>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申请单位保证能力检查；</w:t>
      </w:r>
    </w:p>
    <w:p>
      <w:pPr>
        <w:numPr>
          <w:ilvl w:val="0"/>
          <w:numId w:val="3"/>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产品一致性监督检查；</w:t>
      </w:r>
    </w:p>
    <w:p>
      <w:pPr>
        <w:numPr>
          <w:ilvl w:val="0"/>
          <w:numId w:val="3"/>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监督抽样检验；</w:t>
      </w:r>
    </w:p>
    <w:p>
      <w:pPr>
        <w:numPr>
          <w:ilvl w:val="0"/>
          <w:numId w:val="3"/>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认证证书和标志使用情况。</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6.3 申请单位保证能力监督检查</w:t>
      </w:r>
    </w:p>
    <w:p>
      <w:pPr>
        <w:numPr>
          <w:ilvl w:val="0"/>
          <w:numId w:val="0"/>
        </w:numPr>
        <w:ind w:firstLine="55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申请单位保证能力应覆盖所有认证单元涉及的生产场所。每次必查条款为附件2 的2-9条款。</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6.4 产品一致性监督检查</w:t>
      </w:r>
    </w:p>
    <w:p>
      <w:pPr>
        <w:numPr>
          <w:ilvl w:val="0"/>
          <w:numId w:val="0"/>
        </w:numPr>
        <w:ind w:firstLine="55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对批量生产的认证产品，申请单位应确保认证产品在下述几方面的一致性：</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（1）认证产品的品质；</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（2）认证产品的标签和包装上所标明的信息。</w:t>
      </w:r>
    </w:p>
    <w:p>
      <w:pPr>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产品一致性监督检查应覆盖所有获证产品单元。</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6.5 监督检查人日</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见4.3.4。</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6.6 产品监督抽样检验</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6.6.1 抽样原则</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抽样原则同4.4.1</w:t>
      </w:r>
    </w:p>
    <w:p>
      <w:pPr>
        <w:pStyle w:val="7"/>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6.6.2 检验项目</w:t>
      </w:r>
    </w:p>
    <w:p>
      <w:pPr>
        <w:pStyle w:val="7"/>
        <w:ind w:firstLine="54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检验项目同4.4.3。 </w:t>
      </w:r>
    </w:p>
    <w:p>
      <w:pPr>
        <w:pStyle w:val="7"/>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6.6.3监督检验结果</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监督抽样检验完成后，检验机构负责将检验报告及时报送认证机构。监督抽样检验结论为不合格时，应立即出具不合格检验报告并及时报送认证机构。</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6.6.5 监督结果的评价</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认证机构根据监督检验结果、监督检查结果对证书持有</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进行评定。评定合格，认证机构批准其继续保持认证证书、认证标志。评定不合格，视情况暂停或撤销认证资格、认证标志使用的决定，并对外公告。</w:t>
      </w:r>
    </w:p>
    <w:p>
      <w:p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 认证证书的变更</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认证证书的变更</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本规则覆盖的产品认证证书，如果其产品发生以下变更时，应向认证机构提出变更申请或备案。</w:t>
      </w:r>
    </w:p>
    <w:p>
      <w:pPr>
        <w:pStyle w:val="7"/>
        <w:numPr>
          <w:ilvl w:val="0"/>
          <w:numId w:val="4"/>
        </w:numPr>
        <w:ind w:left="425" w:hanging="425"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申请单位、生产者、生产企业名称和/或地址变更；</w:t>
      </w:r>
    </w:p>
    <w:p>
      <w:pPr>
        <w:numPr>
          <w:ilvl w:val="0"/>
          <w:numId w:val="4"/>
        </w:numPr>
        <w:ind w:left="425" w:hanging="42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获证产品名称、型号命名方式变更；</w:t>
      </w:r>
    </w:p>
    <w:p>
      <w:pPr>
        <w:numPr>
          <w:ilvl w:val="0"/>
          <w:numId w:val="4"/>
        </w:numPr>
        <w:ind w:left="425" w:hanging="42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标准换版；</w:t>
      </w:r>
    </w:p>
    <w:p>
      <w:pPr>
        <w:numPr>
          <w:ilvl w:val="0"/>
          <w:numId w:val="4"/>
        </w:numPr>
        <w:ind w:left="425" w:hanging="42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关键原材料变更；</w:t>
      </w:r>
    </w:p>
    <w:p>
      <w:pPr>
        <w:numPr>
          <w:ilvl w:val="0"/>
          <w:numId w:val="4"/>
        </w:numPr>
        <w:ind w:left="425" w:hanging="42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认证产品持证人、申请单位保证体系等发生变化（例如所有权、组织机构或管理者发生了变化）；</w:t>
      </w:r>
    </w:p>
    <w:p>
      <w:pPr>
        <w:numPr>
          <w:ilvl w:val="0"/>
          <w:numId w:val="4"/>
        </w:numPr>
        <w:ind w:left="425" w:hanging="42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其他影响认证要求的变更。</w:t>
      </w:r>
    </w:p>
    <w:p>
      <w:pPr>
        <w:ind w:firstLine="55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认证机构应核查以上变更情况，确认认证变更的有效性；必要时，可进行补充抽样检验、工厂保证能力检查等，合格后，确认原证书继续有效和/或换发认证证书。</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7.2 认证范围的扩大</w:t>
      </w:r>
    </w:p>
    <w:p>
      <w:pPr>
        <w:ind w:firstLine="55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需要扩大已经获得的认证证书覆盖的产品范围时，应提供变更申请。认证机构根据提供的扩展产品资料，核查扩展产品与原认证产品的差异，确认原认证结果对扩展产品的有效性，并针对差异做补充检验或生产现场检查。确认合格的，换发认证证书。</w:t>
      </w:r>
    </w:p>
    <w:p>
      <w:pPr>
        <w:numPr>
          <w:ilvl w:val="0"/>
          <w:numId w:val="5"/>
        </w:num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认证证书的管理</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在认证证书有效期内，通过证后监督、外部投诉等信息，获证</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发生不能保持认证的情况，认证机构对获证</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的证书做出暂停、注销、撤销、降级处置。在认证证书暂停期间及认证证书注销或撤销后，获证</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不得继续对外使用认证证书或宣称获得相应认证资格。</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认证证书暂停、注销、撤销处置依据《“食在广州”认证证书暂停、注销、撤销、降级处置规定》执行。</w:t>
      </w:r>
    </w:p>
    <w:p>
      <w:p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9 认证标志</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认证标志的申请、管理、使用应符合《“食在广州”商标使用管理暂行办法》的要求。</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准许使用的认证标志样式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另行</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“食在广州”认证标志基本图案的矢量图可在指定的网站进行下载，使用标志时可按比例放大或缩小，标注后应清晰可识，不得随意篡改、变形等。</w:t>
      </w:r>
    </w:p>
    <w:p>
      <w:pPr>
        <w:numPr>
          <w:ilvl w:val="0"/>
          <w:numId w:val="0"/>
        </w:num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10 附则</w:t>
      </w:r>
    </w:p>
    <w:p>
      <w:pPr>
        <w:jc w:val="left"/>
        <w:rPr>
          <w:rFonts w:hint="eastAsia" w:ascii="方正小标宋_GBK" w:hAnsi="方正小标宋_GBK" w:eastAsia="方正小标宋_GBK" w:cs="方正小标宋_GBK"/>
          <w:b w:val="0"/>
          <w:bCs w:val="0"/>
          <w:sz w:val="44"/>
          <w:szCs w:val="44"/>
        </w:rPr>
      </w:pPr>
      <w:r>
        <w:rPr>
          <w:rFonts w:hint="default" w:ascii="Times New Roman" w:hAnsi="Times New Roman" w:eastAsia="方正仿宋_GBK" w:cs="Times New Roman"/>
          <w:sz w:val="32"/>
          <w:szCs w:val="32"/>
        </w:rPr>
        <w:t xml:space="preserve">   本规则由广州市市场监督管理局负责解释。</w:t>
      </w:r>
      <w:r>
        <w:rPr>
          <w:rFonts w:hint="default" w:ascii="Times New Roman" w:hAnsi="Times New Roman" w:eastAsia="方正仿宋_GBK" w:cs="Times New Roman"/>
          <w:b/>
          <w:bCs/>
          <w:sz w:val="32"/>
          <w:szCs w:val="32"/>
        </w:rPr>
        <w:br w:type="page"/>
      </w:r>
      <w:r>
        <w:rPr>
          <w:rFonts w:hint="eastAsia" w:ascii="方正黑体_GBK" w:hAnsi="方正黑体_GBK" w:eastAsia="方正黑体_GBK" w:cs="方正黑体_GBK"/>
          <w:b w:val="0"/>
          <w:bCs w:val="0"/>
          <w:sz w:val="32"/>
          <w:szCs w:val="32"/>
        </w:rPr>
        <w:t>附件</w:t>
      </w:r>
      <w:r>
        <w:rPr>
          <w:rFonts w:hint="eastAsia" w:ascii="方正黑体_GBK" w:hAnsi="方正黑体_GBK" w:eastAsia="方正黑体_GBK" w:cs="方正黑体_GBK"/>
          <w:b w:val="0"/>
          <w:bCs w:val="0"/>
          <w:sz w:val="32"/>
          <w:szCs w:val="32"/>
          <w:lang w:val="en-US" w:eastAsia="zh-CN"/>
        </w:rPr>
        <w:t>5-</w:t>
      </w:r>
      <w:r>
        <w:rPr>
          <w:rFonts w:hint="eastAsia" w:ascii="方正黑体_GBK" w:hAnsi="方正黑体_GBK" w:eastAsia="方正黑体_GBK" w:cs="方正黑体_GBK"/>
          <w:b w:val="0"/>
          <w:bCs w:val="0"/>
          <w:sz w:val="32"/>
          <w:szCs w:val="32"/>
        </w:rPr>
        <w:t>1</w:t>
      </w:r>
      <w:r>
        <w:rPr>
          <w:rFonts w:hint="eastAsia" w:eastAsia="仿宋_GB2312" w:cs="仿宋_GB2312"/>
          <w:b/>
          <w:bCs/>
          <w:sz w:val="28"/>
          <w:szCs w:val="28"/>
        </w:rPr>
        <w:t xml:space="preserve"> </w:t>
      </w:r>
    </w:p>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申请单位保证能力要求</w:t>
      </w:r>
    </w:p>
    <w:p>
      <w:pPr>
        <w:ind w:firstLine="640" w:firstLineChars="200"/>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申请单位保证能力应满足本文件规定的要求。</w:t>
      </w:r>
    </w:p>
    <w:p>
      <w:p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1 职责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申请单位应规定与“食在广州”认证活动有关的各类人员职责及相互关系， 应：</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a）建立满足本文件要求的制度或机制，并确保其实施和保持；</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b）确保使用该认证标志的产品符合认证标准的要求；</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c）建立文件化程序，确保认证证书和标志的正确使用；</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d）建立文件化的程序，确保未获认证产品、不合格品和认证产品变更后未经认证机构确认，不使用认证标志。</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申请单位应在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内指定专门的认证负责人，无论该成员在其它方面的职责如何，应具有组织实施以上方面工作的职责和权限。</w:t>
      </w:r>
    </w:p>
    <w:p>
      <w:pPr>
        <w:ind w:firstLine="640" w:firstLineChars="200"/>
        <w:rPr>
          <w:rFonts w:hint="default" w:ascii="Times New Roman" w:hAnsi="Times New Roman" w:eastAsia="方正仿宋_GBK" w:cs="Times New Roman"/>
          <w:sz w:val="32"/>
          <w:szCs w:val="32"/>
        </w:rPr>
      </w:pPr>
    </w:p>
    <w:p>
      <w:p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 认证文件</w:t>
      </w:r>
    </w:p>
    <w:p>
      <w:pPr>
        <w:ind w:firstLine="54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识别与“食在广州”认证相关的重要文件和信息，如产品检验报告、申请单位检查报告、产品认证证书状态信息（有效、暂停、撤销、注销等）、认证变更批准信息、监督抽样检验报告、产品质量、环保、安全投诉及处理结果，及其他与“食在广州”认证相关的文件和信息等。</w:t>
      </w:r>
    </w:p>
    <w:p>
      <w:pPr>
        <w:ind w:firstLine="54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保存期限应满足法律法规的要求，确保在本次检查中能获得前次检查的记录，且至少不低于24个月。</w:t>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 品牌意识</w:t>
      </w:r>
    </w:p>
    <w:p>
      <w:pPr>
        <w:pStyle w:val="8"/>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应根据</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实际情况制定吻合“食在广州”品牌的品牌战略和规划，品牌定位应清晰，并与</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发展战略保持一致。</w:t>
      </w:r>
    </w:p>
    <w:p>
      <w:pPr>
        <w:pStyle w:val="8"/>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应建立品牌管理机制，积极开展品牌宣传、形象维护等工作，并投入必要的资源进行品牌建设工作。</w:t>
      </w:r>
    </w:p>
    <w:p>
      <w:pPr>
        <w:pStyle w:val="8"/>
        <w:adjustRightInd w:val="0"/>
        <w:snapToGrid w:val="0"/>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申请单位应采取措施维护良好的品牌声誉。</w:t>
      </w:r>
    </w:p>
    <w:p>
      <w:pPr>
        <w:pStyle w:val="8"/>
        <w:adjustRightInd w:val="0"/>
        <w:snapToGrid w:val="0"/>
        <w:spacing w:line="594" w:lineRule="exact"/>
        <w:rPr>
          <w:rFonts w:hint="default" w:ascii="Times New Roman" w:hAnsi="Times New Roman" w:eastAsia="方正仿宋_GBK" w:cs="Times New Roman"/>
          <w:sz w:val="32"/>
          <w:szCs w:val="32"/>
        </w:rPr>
      </w:pPr>
    </w:p>
    <w:p>
      <w:pPr>
        <w:pStyle w:val="8"/>
        <w:numPr>
          <w:ilvl w:val="0"/>
          <w:numId w:val="0"/>
        </w:numPr>
        <w:adjustRightInd w:val="0"/>
        <w:snapToGrid w:val="0"/>
        <w:spacing w:line="594"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 品质卓越</w:t>
      </w:r>
    </w:p>
    <w:p>
      <w:pPr>
        <w:pStyle w:val="8"/>
        <w:numPr>
          <w:ilvl w:val="0"/>
          <w:numId w:val="0"/>
        </w:numPr>
        <w:adjustRightInd w:val="0"/>
        <w:snapToGrid w:val="0"/>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 申请单位应保证持续稳定生产的获证产品不低于其执行标准和相应类别“食在广州”认证技术规范的要求。</w:t>
      </w:r>
    </w:p>
    <w:p>
      <w:pPr>
        <w:pStyle w:val="8"/>
        <w:numPr>
          <w:ilvl w:val="0"/>
          <w:numId w:val="0"/>
        </w:numPr>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申请认证产品的主要品质指标和安全指标应不低于强制性国家标准的要求。</w:t>
      </w:r>
    </w:p>
    <w:p>
      <w:pPr>
        <w:pStyle w:val="8"/>
        <w:numPr>
          <w:ilvl w:val="0"/>
          <w:numId w:val="0"/>
        </w:numPr>
        <w:adjustRightInd w:val="0"/>
        <w:snapToGrid w:val="0"/>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 应建立科学的质量管理体系，并持续有效实施，管理水平应处于行业领先水平，对同行业有带动作用。</w:t>
      </w:r>
    </w:p>
    <w:p>
      <w:pPr>
        <w:pStyle w:val="8"/>
        <w:numPr>
          <w:ilvl w:val="0"/>
          <w:numId w:val="6"/>
        </w:numPr>
        <w:adjustRightInd w:val="0"/>
        <w:snapToGrid w:val="0"/>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申请单位应建立原材料检验、半成品检验、成品出厂检验等控制程序或制度，并保留相关检验记录。</w:t>
      </w:r>
    </w:p>
    <w:p>
      <w:pPr>
        <w:numPr>
          <w:ilvl w:val="0"/>
          <w:numId w:val="6"/>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应对影响认证产品食品安全的工序（简称关键工序）进行识别，制定相应的操作规程或作业指导书等工艺文件，对影响产品食品安全的关键参数进行规定，并与产品设计要求一致。</w:t>
      </w:r>
    </w:p>
    <w:p>
      <w:pPr>
        <w:pStyle w:val="8"/>
        <w:numPr>
          <w:ilvl w:val="0"/>
          <w:numId w:val="0"/>
        </w:numPr>
        <w:adjustRightInd w:val="0"/>
        <w:snapToGrid w:val="0"/>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 应积极参与国际、国内先进标准的制（修）订工作及各项质量提升活动。</w:t>
      </w:r>
    </w:p>
    <w:p>
      <w:pPr>
        <w:pStyle w:val="8"/>
        <w:numPr>
          <w:ilvl w:val="0"/>
          <w:numId w:val="0"/>
        </w:numPr>
        <w:adjustRightInd w:val="0"/>
        <w:snapToGrid w:val="0"/>
        <w:spacing w:line="594" w:lineRule="exact"/>
        <w:rPr>
          <w:rFonts w:hint="default" w:ascii="Times New Roman" w:hAnsi="Times New Roman" w:eastAsia="方正仿宋_GBK" w:cs="Times New Roman"/>
          <w:sz w:val="32"/>
          <w:szCs w:val="32"/>
        </w:rPr>
      </w:pPr>
    </w:p>
    <w:p>
      <w:pPr>
        <w:pStyle w:val="8"/>
        <w:numPr>
          <w:ilvl w:val="0"/>
          <w:numId w:val="7"/>
        </w:numPr>
        <w:adjustRightInd w:val="0"/>
        <w:snapToGrid w:val="0"/>
        <w:spacing w:line="594"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创新引领</w:t>
      </w:r>
    </w:p>
    <w:p>
      <w:pPr>
        <w:pStyle w:val="8"/>
        <w:numPr>
          <w:ilvl w:val="1"/>
          <w:numId w:val="7"/>
        </w:numPr>
        <w:adjustRightInd w:val="0"/>
        <w:snapToGrid w:val="0"/>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应制定创新战略及实施计划，并积极开展自主创新活动。</w:t>
      </w:r>
    </w:p>
    <w:p>
      <w:pPr>
        <w:pStyle w:val="8"/>
        <w:numPr>
          <w:ilvl w:val="0"/>
          <w:numId w:val="0"/>
        </w:numPr>
        <w:adjustRightInd w:val="0"/>
        <w:snapToGrid w:val="0"/>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 在产品的关键环节应拥有自主知识产权和（或）核心技术成果，或服务模式应具有行业先进性。</w:t>
      </w:r>
    </w:p>
    <w:p>
      <w:pPr>
        <w:pStyle w:val="8"/>
        <w:adjustRightInd w:val="0"/>
        <w:snapToGrid w:val="0"/>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5.3应建立有效的创新激励机制，注重产品研发，并投入必要的资源用于创新工作。</w:t>
      </w:r>
    </w:p>
    <w:p>
      <w:pPr>
        <w:rPr>
          <w:rFonts w:hint="default" w:ascii="Times New Roman" w:hAnsi="Times New Roman" w:eastAsia="方正仿宋_GBK" w:cs="Times New Roman"/>
          <w:b/>
          <w:bCs/>
          <w:sz w:val="32"/>
          <w:szCs w:val="32"/>
        </w:rPr>
      </w:pPr>
    </w:p>
    <w:p>
      <w:pPr>
        <w:numPr>
          <w:ilvl w:val="0"/>
          <w:numId w:val="0"/>
        </w:num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 信誉良好</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6.1 应建立信用和合规体系，对</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的信用和合规活动进行管理。</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 应秉承绿色经营理念，在质量安全、环保、节能、资源综合利用、公共卫生等方面承担公共责任。</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6.3 应积极履行社会责任，每年公开发布社会责任报告或接受社会责任评价；积极支持公益事业，为乡村振兴或社会救助等助力并做出贡献，提升社会形象。</w:t>
      </w:r>
    </w:p>
    <w:p>
      <w:pPr>
        <w:numPr>
          <w:ilvl w:val="0"/>
          <w:numId w:val="0"/>
        </w:numPr>
        <w:rPr>
          <w:rFonts w:hint="default" w:ascii="Times New Roman" w:hAnsi="Times New Roman" w:eastAsia="方正仿宋_GBK" w:cs="Times New Roman"/>
          <w:sz w:val="32"/>
          <w:szCs w:val="32"/>
        </w:rPr>
      </w:pPr>
    </w:p>
    <w:p>
      <w:pPr>
        <w:numPr>
          <w:ilvl w:val="0"/>
          <w:numId w:val="0"/>
        </w:num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 服务优质</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7.1申请单位应建立完善的客户体系并有效运行，保障客户权益，持续提升服务能力。</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7.2应建立服务质量提升机制并有效实施，主动提升服务质量，并根据服务反馈情况及时改善产品质量。</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7.3 应建立缺陷产品召回制度或缺陷产品处理制度并有效实施。</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7.4 应监测顾客满意度，及时掌握顾客意见并采取措施，持续提高顾客满意度。</w:t>
      </w:r>
    </w:p>
    <w:p>
      <w:pPr>
        <w:numPr>
          <w:ilvl w:val="0"/>
          <w:numId w:val="0"/>
        </w:num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7.5应建立便民高效的客户投诉处理机制，公布投诉渠道，及时处理，主动协商，同时保护好投诉方的信息和隐私。</w:t>
      </w:r>
    </w:p>
    <w:p>
      <w:pPr>
        <w:numPr>
          <w:ilvl w:val="0"/>
          <w:numId w:val="0"/>
        </w:numPr>
        <w:rPr>
          <w:rFonts w:hint="default" w:ascii="Times New Roman" w:hAnsi="Times New Roman" w:eastAsia="方正仿宋_GBK" w:cs="Times New Roman"/>
          <w:b/>
          <w:bCs/>
          <w:sz w:val="32"/>
          <w:szCs w:val="32"/>
        </w:rPr>
      </w:pPr>
    </w:p>
    <w:p>
      <w:p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8. 认证产品的一致性控制 </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申请单位应从产品设计（设计变更）、工艺和资源、采购、生产制造、检验等适用的食品安全环节，对产品一致性进行控制，包括但不限于以下方面，以确保产品持续符合认证依据标准要求。</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（1）认证产品的一致性；</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（2）认证产品标签和包装上所标明的信息的一致性。</w:t>
      </w:r>
    </w:p>
    <w:p>
      <w:pPr>
        <w:rPr>
          <w:rFonts w:hint="default" w:ascii="Times New Roman" w:hAnsi="Times New Roman" w:eastAsia="方正仿宋_GBK" w:cs="Times New Roman"/>
          <w:sz w:val="32"/>
          <w:szCs w:val="32"/>
        </w:rPr>
      </w:pPr>
    </w:p>
    <w:p>
      <w:pPr>
        <w:numPr>
          <w:ilvl w:val="0"/>
          <w:numId w:val="8"/>
        </w:num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认证证书和标志</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申请单位对认证证书和标志的管理及使用应符合“食在广州”产品认证相关规定。对于下列产品，不得使用认证标志：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(a)未获认证的产品；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(b)获证后的变更需经认证机构确认但未确认的产品；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(c)超过认证有效期时的证书所对应的产品；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(d)已暂停、撤销、注销的证书所列产品；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(e)不合格产品。 </w:t>
      </w:r>
    </w:p>
    <w:p>
      <w:pPr>
        <w:rPr>
          <w:rFonts w:eastAsia="仿宋_GB2312" w:cs="仿宋_GB2312"/>
          <w:sz w:val="28"/>
          <w:szCs w:val="28"/>
        </w:rPr>
      </w:pPr>
    </w:p>
    <w:p>
      <w:pPr>
        <w:rPr>
          <w:rFonts w:eastAsia="仿宋_GB2312" w:cs="仿宋_GB2312"/>
          <w:sz w:val="28"/>
          <w:szCs w:val="28"/>
        </w:rPr>
      </w:pPr>
    </w:p>
    <w:p>
      <w:pPr>
        <w:rPr>
          <w:rFonts w:eastAsia="仿宋_GB2312" w:cs="仿宋_GB2312"/>
          <w:sz w:val="28"/>
          <w:szCs w:val="28"/>
        </w:rPr>
      </w:pPr>
    </w:p>
    <w:p>
      <w:pPr>
        <w:rPr>
          <w:rFonts w:eastAsia="仿宋_GB2312" w:cs="仿宋_GB2312"/>
          <w:sz w:val="28"/>
          <w:szCs w:val="28"/>
        </w:rPr>
      </w:pPr>
    </w:p>
    <w:p>
      <w:pPr>
        <w:rPr>
          <w:rFonts w:eastAsia="仿宋_GB2312" w:cs="仿宋_GB2312"/>
          <w:sz w:val="28"/>
          <w:szCs w:val="28"/>
        </w:rPr>
      </w:pPr>
    </w:p>
    <w:p>
      <w:pPr>
        <w:rPr>
          <w:rFonts w:hint="eastAsia" w:ascii="方正黑体_GBK" w:hAnsi="方正黑体_GBK" w:eastAsia="方正黑体_GBK" w:cs="方正黑体_GBK"/>
          <w:b w:val="0"/>
          <w:bCs w:val="0"/>
          <w:sz w:val="32"/>
          <w:szCs w:val="32"/>
        </w:rPr>
      </w:pPr>
    </w:p>
    <w:p>
      <w:pPr>
        <w:rPr>
          <w:rFonts w:hint="eastAsia" w:ascii="方正黑体_GBK" w:hAnsi="方正黑体_GBK" w:eastAsia="方正黑体_GBK" w:cs="方正黑体_GBK"/>
          <w:b w:val="0"/>
          <w:bCs w:val="0"/>
          <w:sz w:val="32"/>
          <w:szCs w:val="32"/>
        </w:rPr>
      </w:pPr>
    </w:p>
    <w:p>
      <w:pPr>
        <w:rPr>
          <w:rFonts w:hint="eastAsia" w:ascii="方正黑体_GBK" w:hAnsi="方正黑体_GBK" w:eastAsia="方正黑体_GBK" w:cs="方正黑体_GBK"/>
          <w:b w:val="0"/>
          <w:bCs w:val="0"/>
          <w:sz w:val="32"/>
          <w:szCs w:val="32"/>
        </w:rPr>
      </w:pPr>
    </w:p>
    <w:p>
      <w:pPr>
        <w:rPr>
          <w:rFonts w:hint="eastAsia" w:ascii="方正黑体_GBK" w:hAnsi="方正黑体_GBK" w:eastAsia="方正黑体_GBK" w:cs="方正黑体_GBK"/>
          <w:b w:val="0"/>
          <w:bCs w:val="0"/>
          <w:sz w:val="32"/>
          <w:szCs w:val="32"/>
        </w:rPr>
      </w:pPr>
    </w:p>
    <w:p>
      <w:pPr>
        <w:rPr>
          <w:rFonts w:hint="eastAsia" w:ascii="方正黑体_GBK" w:hAnsi="方正黑体_GBK" w:eastAsia="方正黑体_GBK" w:cs="方正黑体_GBK"/>
          <w:b w:val="0"/>
          <w:bCs w:val="0"/>
          <w:sz w:val="32"/>
          <w:szCs w:val="32"/>
        </w:rPr>
      </w:pPr>
    </w:p>
    <w:p>
      <w:pPr>
        <w:rPr>
          <w:rFonts w:hint="eastAsia" w:ascii="方正黑体_GBK" w:hAnsi="方正黑体_GBK" w:eastAsia="方正黑体_GBK" w:cs="方正黑体_GBK"/>
          <w:b w:val="0"/>
          <w:bCs w:val="0"/>
          <w:sz w:val="32"/>
          <w:szCs w:val="32"/>
        </w:rPr>
      </w:pPr>
    </w:p>
    <w:p>
      <w:pPr>
        <w:rPr>
          <w:rFonts w:hint="eastAsia" w:ascii="方正黑体_GBK" w:hAnsi="方正黑体_GBK" w:eastAsia="方正黑体_GBK" w:cs="方正黑体_GBK"/>
          <w:b w:val="0"/>
          <w:bCs w:val="0"/>
          <w:sz w:val="32"/>
          <w:szCs w:val="32"/>
        </w:rPr>
      </w:pPr>
    </w:p>
    <w:p>
      <w:pPr>
        <w:rPr>
          <w:rFonts w:hint="eastAsia" w:ascii="方正黑体_GBK" w:hAnsi="方正黑体_GBK" w:eastAsia="方正黑体_GBK" w:cs="方正黑体_GBK"/>
          <w:b w:val="0"/>
          <w:bCs w:val="0"/>
          <w:sz w:val="32"/>
          <w:szCs w:val="32"/>
        </w:rPr>
      </w:pPr>
    </w:p>
    <w:p>
      <w:pPr>
        <w:rPr>
          <w:rFonts w:hint="eastAsia" w:ascii="方正黑体_GBK" w:hAnsi="方正黑体_GBK" w:eastAsia="方正黑体_GBK" w:cs="方正黑体_GBK"/>
          <w:b w:val="0"/>
          <w:bCs w:val="0"/>
          <w:sz w:val="32"/>
          <w:szCs w:val="32"/>
        </w:rPr>
      </w:pPr>
    </w:p>
    <w:p>
      <w:pPr>
        <w:rPr>
          <w:rFonts w:hint="eastAsia" w:ascii="方正黑体_GBK" w:hAnsi="方正黑体_GBK" w:eastAsia="方正黑体_GBK" w:cs="方正黑体_GBK"/>
          <w:b w:val="0"/>
          <w:bCs w:val="0"/>
          <w:sz w:val="32"/>
          <w:szCs w:val="32"/>
        </w:rPr>
      </w:pPr>
    </w:p>
    <w:p>
      <w:pPr>
        <w:rPr>
          <w:rFonts w:hint="eastAsia" w:ascii="方正黑体_GBK" w:hAnsi="方正黑体_GBK" w:eastAsia="方正黑体_GBK" w:cs="方正黑体_GBK"/>
          <w:b w:val="0"/>
          <w:bCs w:val="0"/>
          <w:sz w:val="32"/>
          <w:szCs w:val="32"/>
        </w:rPr>
      </w:pPr>
    </w:p>
    <w:p>
      <w:pPr>
        <w:rPr>
          <w:rFonts w:hint="eastAsia" w:ascii="方正黑体_GBK" w:hAnsi="方正黑体_GBK" w:eastAsia="方正黑体_GBK" w:cs="方正黑体_GBK"/>
          <w:b w:val="0"/>
          <w:bCs w:val="0"/>
          <w:sz w:val="32"/>
          <w:szCs w:val="32"/>
        </w:rPr>
      </w:pPr>
    </w:p>
    <w:p>
      <w:pPr>
        <w:spacing w:line="240" w:lineRule="auto"/>
        <w:jc w:val="left"/>
        <w:rPr>
          <w:rFonts w:hint="eastAsia" w:ascii="方正小标宋_GBK" w:hAnsi="方正小标宋_GBK" w:eastAsia="方正小标宋_GBK" w:cs="方正小标宋_GBK"/>
          <w:sz w:val="44"/>
          <w:szCs w:val="44"/>
          <w:lang w:eastAsia="zh-CN"/>
        </w:rPr>
      </w:pPr>
      <w:r>
        <w:rPr>
          <w:rFonts w:hint="eastAsia" w:ascii="方正黑体_GBK" w:hAnsi="方正黑体_GBK" w:eastAsia="方正黑体_GBK" w:cs="方正黑体_GBK"/>
          <w:b w:val="0"/>
          <w:bCs w:val="0"/>
          <w:sz w:val="32"/>
          <w:szCs w:val="32"/>
        </w:rPr>
        <w:t>附件</w:t>
      </w:r>
      <w:r>
        <w:rPr>
          <w:rFonts w:hint="eastAsia" w:ascii="方正黑体_GBK" w:hAnsi="方正黑体_GBK" w:eastAsia="方正黑体_GBK" w:cs="方正黑体_GBK"/>
          <w:b w:val="0"/>
          <w:bCs w:val="0"/>
          <w:sz w:val="32"/>
          <w:szCs w:val="32"/>
          <w:lang w:val="en-US" w:eastAsia="zh-CN"/>
        </w:rPr>
        <w:t>5-</w:t>
      </w:r>
      <w:r>
        <w:rPr>
          <w:rFonts w:hint="eastAsia" w:ascii="方正黑体_GBK" w:hAnsi="方正黑体_GBK" w:eastAsia="方正黑体_GBK" w:cs="方正黑体_GBK"/>
          <w:b w:val="0"/>
          <w:bCs w:val="0"/>
          <w:sz w:val="32"/>
          <w:szCs w:val="32"/>
        </w:rPr>
        <w:t>2</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广州市</w:t>
      </w:r>
      <w:r>
        <w:rPr>
          <w:rFonts w:hint="eastAsia" w:ascii="方正小标宋_GBK" w:hAnsi="方正小标宋_GBK" w:eastAsia="方正小标宋_GBK" w:cs="方正小标宋_GBK"/>
          <w:sz w:val="44"/>
          <w:szCs w:val="44"/>
        </w:rPr>
        <w:t>“食在广州”认证评价指标</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及分值分布</w:t>
      </w:r>
    </w:p>
    <w:p>
      <w:pPr>
        <w:spacing w:line="600" w:lineRule="exact"/>
        <w:jc w:val="center"/>
        <w:rPr>
          <w:rFonts w:hint="eastAsia" w:ascii="方正小标宋_GBK" w:hAnsi="方正小标宋_GBK" w:eastAsia="方正小标宋_GBK" w:cs="方正小标宋_GBK"/>
          <w:sz w:val="44"/>
          <w:szCs w:val="44"/>
        </w:rPr>
      </w:pPr>
    </w:p>
    <w:tbl>
      <w:tblPr>
        <w:tblStyle w:val="5"/>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456"/>
        <w:gridCol w:w="3714"/>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序号</w:t>
            </w:r>
          </w:p>
        </w:tc>
        <w:tc>
          <w:tcPr>
            <w:tcW w:w="2456"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评价要素（分值）</w:t>
            </w:r>
          </w:p>
        </w:tc>
        <w:tc>
          <w:tcPr>
            <w:tcW w:w="3714"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评价内容</w:t>
            </w:r>
          </w:p>
        </w:tc>
        <w:tc>
          <w:tcPr>
            <w:tcW w:w="2170" w:type="dxa"/>
            <w:noWrap w:val="0"/>
            <w:vAlign w:val="top"/>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2456" w:type="dxa"/>
            <w:vMerge w:val="restart"/>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品牌意识</w:t>
            </w:r>
          </w:p>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（19分）</w:t>
            </w:r>
          </w:p>
        </w:tc>
        <w:tc>
          <w:tcPr>
            <w:tcW w:w="3714"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 品牌战略</w:t>
            </w:r>
          </w:p>
        </w:tc>
        <w:tc>
          <w:tcPr>
            <w:tcW w:w="2170"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2456" w:type="dxa"/>
            <w:vMerge w:val="continue"/>
            <w:noWrap w:val="0"/>
            <w:vAlign w:val="top"/>
          </w:tcPr>
          <w:p>
            <w:pP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1.2品牌成果</w:t>
            </w:r>
          </w:p>
        </w:tc>
        <w:tc>
          <w:tcPr>
            <w:tcW w:w="2170"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2456" w:type="dxa"/>
            <w:vMerge w:val="continue"/>
            <w:noWrap w:val="0"/>
            <w:vAlign w:val="top"/>
          </w:tcPr>
          <w:p>
            <w:pP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 品牌管理</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2456" w:type="dxa"/>
            <w:vMerge w:val="continue"/>
            <w:noWrap w:val="0"/>
            <w:vAlign w:val="top"/>
          </w:tcPr>
          <w:p>
            <w:pP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1.4 品牌声誉</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2456" w:type="dxa"/>
            <w:vMerge w:val="restart"/>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品质卓越</w:t>
            </w:r>
          </w:p>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（36分）</w:t>
            </w: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 品质要求</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w:t>
            </w:r>
          </w:p>
        </w:tc>
        <w:tc>
          <w:tcPr>
            <w:tcW w:w="2456" w:type="dxa"/>
            <w:vMerge w:val="continue"/>
            <w:noWrap w:val="0"/>
            <w:vAlign w:val="top"/>
          </w:tcPr>
          <w:p>
            <w:pP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2.2 管理水平</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w:t>
            </w:r>
          </w:p>
        </w:tc>
        <w:tc>
          <w:tcPr>
            <w:tcW w:w="2456" w:type="dxa"/>
            <w:vMerge w:val="continue"/>
            <w:noWrap w:val="0"/>
            <w:vAlign w:val="top"/>
          </w:tcPr>
          <w:p>
            <w:pP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2.3 行业引领</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p>
        </w:tc>
        <w:tc>
          <w:tcPr>
            <w:tcW w:w="2456" w:type="dxa"/>
            <w:vMerge w:val="continue"/>
            <w:noWrap w:val="0"/>
            <w:vAlign w:val="top"/>
          </w:tcPr>
          <w:p>
            <w:pP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2.4 质量提升</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w:t>
            </w:r>
          </w:p>
        </w:tc>
        <w:tc>
          <w:tcPr>
            <w:tcW w:w="2456" w:type="dxa"/>
            <w:vMerge w:val="restart"/>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创新引领</w:t>
            </w:r>
          </w:p>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（15分）</w:t>
            </w:r>
          </w:p>
          <w:p>
            <w:pPr>
              <w:jc w:val="cente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3.1 创新战略</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w:t>
            </w:r>
          </w:p>
        </w:tc>
        <w:tc>
          <w:tcPr>
            <w:tcW w:w="2456" w:type="dxa"/>
            <w:vMerge w:val="continue"/>
            <w:noWrap w:val="0"/>
            <w:vAlign w:val="top"/>
          </w:tcPr>
          <w:p>
            <w:pPr>
              <w:jc w:val="cente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3.2 创新成果</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w:t>
            </w:r>
          </w:p>
        </w:tc>
        <w:tc>
          <w:tcPr>
            <w:tcW w:w="2456" w:type="dxa"/>
            <w:vMerge w:val="continue"/>
            <w:noWrap w:val="0"/>
            <w:vAlign w:val="top"/>
          </w:tcPr>
          <w:p>
            <w:pPr>
              <w:jc w:val="cente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3.3 科研创新</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w:t>
            </w:r>
          </w:p>
        </w:tc>
        <w:tc>
          <w:tcPr>
            <w:tcW w:w="2456" w:type="dxa"/>
            <w:vMerge w:val="continue"/>
            <w:noWrap w:val="0"/>
            <w:vAlign w:val="top"/>
          </w:tcPr>
          <w:p>
            <w:pPr>
              <w:jc w:val="cente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3.4 投入推广</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w:t>
            </w:r>
          </w:p>
        </w:tc>
        <w:tc>
          <w:tcPr>
            <w:tcW w:w="2456" w:type="dxa"/>
            <w:vMerge w:val="restart"/>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信誉良好</w:t>
            </w:r>
          </w:p>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（15分）</w:t>
            </w: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4.1 社会信用</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14</w:t>
            </w:r>
          </w:p>
        </w:tc>
        <w:tc>
          <w:tcPr>
            <w:tcW w:w="2456" w:type="dxa"/>
            <w:vMerge w:val="continue"/>
            <w:noWrap w:val="0"/>
            <w:vAlign w:val="top"/>
          </w:tcPr>
          <w:p>
            <w:pPr>
              <w:jc w:val="cente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4.2 绿色发展</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w:t>
            </w:r>
          </w:p>
        </w:tc>
        <w:tc>
          <w:tcPr>
            <w:tcW w:w="2456" w:type="dxa"/>
            <w:vMerge w:val="continue"/>
            <w:noWrap w:val="0"/>
            <w:vAlign w:val="top"/>
          </w:tcPr>
          <w:p>
            <w:pPr>
              <w:jc w:val="cente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4.3 社会责任</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16</w:t>
            </w:r>
          </w:p>
        </w:tc>
        <w:tc>
          <w:tcPr>
            <w:tcW w:w="2456" w:type="dxa"/>
            <w:vMerge w:val="restart"/>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服务优质</w:t>
            </w:r>
          </w:p>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（15分）</w:t>
            </w: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5.1 服务体系</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17</w:t>
            </w:r>
          </w:p>
        </w:tc>
        <w:tc>
          <w:tcPr>
            <w:tcW w:w="2456" w:type="dxa"/>
            <w:vMerge w:val="continue"/>
            <w:noWrap w:val="0"/>
            <w:vAlign w:val="top"/>
          </w:tcPr>
          <w:p>
            <w:pPr>
              <w:jc w:val="cente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5.2 服务改善</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18</w:t>
            </w:r>
          </w:p>
        </w:tc>
        <w:tc>
          <w:tcPr>
            <w:tcW w:w="2456" w:type="dxa"/>
            <w:vMerge w:val="continue"/>
            <w:noWrap w:val="0"/>
            <w:vAlign w:val="top"/>
          </w:tcPr>
          <w:p>
            <w:pPr>
              <w:jc w:val="cente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5.3 缺陷处理</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6" w:type="dxa"/>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19</w:t>
            </w:r>
          </w:p>
        </w:tc>
        <w:tc>
          <w:tcPr>
            <w:tcW w:w="2456" w:type="dxa"/>
            <w:vMerge w:val="continue"/>
            <w:noWrap w:val="0"/>
            <w:vAlign w:val="top"/>
          </w:tcPr>
          <w:p>
            <w:pPr>
              <w:jc w:val="center"/>
              <w:rPr>
                <w:rFonts w:hint="default" w:ascii="Times New Roman" w:hAnsi="Times New Roman" w:eastAsia="方正仿宋_GBK" w:cs="Times New Roman"/>
                <w:sz w:val="24"/>
                <w:szCs w:val="24"/>
              </w:rPr>
            </w:pPr>
          </w:p>
        </w:tc>
        <w:tc>
          <w:tcPr>
            <w:tcW w:w="3714"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5.4 顾客权益</w:t>
            </w:r>
          </w:p>
        </w:tc>
        <w:tc>
          <w:tcPr>
            <w:tcW w:w="2170" w:type="dxa"/>
            <w:noWrap w:val="0"/>
            <w:vAlign w:val="top"/>
          </w:tcPr>
          <w:p>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r>
    </w:tbl>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注：1）品质卓越中“品质要求”指标为否决性指标。</w:t>
      </w:r>
    </w:p>
    <w:p>
      <w:pPr>
        <w:rPr>
          <w:rFonts w:eastAsia="仿宋_GB2312" w:cs="仿宋_GB2312"/>
          <w:sz w:val="28"/>
          <w:szCs w:val="28"/>
        </w:rPr>
      </w:pPr>
      <w:r>
        <w:rPr>
          <w:rFonts w:hint="eastAsia" w:ascii="方正仿宋_GBK" w:hAnsi="方正仿宋_GBK" w:eastAsia="方正仿宋_GBK" w:cs="方正仿宋_GBK"/>
          <w:sz w:val="24"/>
          <w:szCs w:val="24"/>
        </w:rPr>
        <w:t xml:space="preserve">    2）80分及以上方满足发证条件。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path/>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8D4FE"/>
    <w:multiLevelType w:val="singleLevel"/>
    <w:tmpl w:val="B6F8D4FE"/>
    <w:lvl w:ilvl="0" w:tentative="0">
      <w:start w:val="1"/>
      <w:numFmt w:val="decimal"/>
      <w:lvlText w:val="%1)"/>
      <w:lvlJc w:val="left"/>
      <w:pPr>
        <w:ind w:left="425" w:hanging="425"/>
      </w:pPr>
      <w:rPr>
        <w:rFonts w:hint="default"/>
      </w:rPr>
    </w:lvl>
  </w:abstractNum>
  <w:abstractNum w:abstractNumId="1">
    <w:nsid w:val="E040AE82"/>
    <w:multiLevelType w:val="singleLevel"/>
    <w:tmpl w:val="E040AE82"/>
    <w:lvl w:ilvl="0" w:tentative="0">
      <w:start w:val="8"/>
      <w:numFmt w:val="decimal"/>
      <w:suff w:val="space"/>
      <w:lvlText w:val="%1."/>
      <w:lvlJc w:val="left"/>
    </w:lvl>
  </w:abstractNum>
  <w:abstractNum w:abstractNumId="2">
    <w:nsid w:val="0EC921C0"/>
    <w:multiLevelType w:val="singleLevel"/>
    <w:tmpl w:val="0EC921C0"/>
    <w:lvl w:ilvl="0" w:tentative="0">
      <w:start w:val="1"/>
      <w:numFmt w:val="decimal"/>
      <w:suff w:val="nothing"/>
      <w:lvlText w:val="%1）"/>
      <w:lvlJc w:val="left"/>
      <w:pPr>
        <w:ind w:left="410" w:firstLine="0"/>
      </w:pPr>
    </w:lvl>
  </w:abstractNum>
  <w:abstractNum w:abstractNumId="3">
    <w:nsid w:val="3D05C189"/>
    <w:multiLevelType w:val="singleLevel"/>
    <w:tmpl w:val="3D05C189"/>
    <w:lvl w:ilvl="0" w:tentative="0">
      <w:start w:val="9"/>
      <w:numFmt w:val="decimal"/>
      <w:suff w:val="space"/>
      <w:lvlText w:val="%1."/>
      <w:lvlJc w:val="left"/>
    </w:lvl>
  </w:abstractNum>
  <w:abstractNum w:abstractNumId="4">
    <w:nsid w:val="513E0FD6"/>
    <w:multiLevelType w:val="multilevel"/>
    <w:tmpl w:val="513E0FD6"/>
    <w:lvl w:ilvl="0" w:tentative="0">
      <w:start w:val="1"/>
      <w:numFmt w:val="decimal"/>
      <w:lvlText w:val="%1)"/>
      <w:lvlJc w:val="left"/>
      <w:pPr>
        <w:ind w:left="987" w:hanging="440"/>
      </w:pPr>
    </w:lvl>
    <w:lvl w:ilvl="1" w:tentative="0">
      <w:start w:val="1"/>
      <w:numFmt w:val="lowerLetter"/>
      <w:lvlText w:val="%2)"/>
      <w:lvlJc w:val="left"/>
      <w:pPr>
        <w:ind w:left="1427" w:hanging="440"/>
      </w:pPr>
    </w:lvl>
    <w:lvl w:ilvl="2" w:tentative="0">
      <w:start w:val="1"/>
      <w:numFmt w:val="lowerRoman"/>
      <w:lvlText w:val="%3."/>
      <w:lvlJc w:val="right"/>
      <w:pPr>
        <w:ind w:left="1867" w:hanging="440"/>
      </w:pPr>
    </w:lvl>
    <w:lvl w:ilvl="3" w:tentative="0">
      <w:start w:val="1"/>
      <w:numFmt w:val="decimal"/>
      <w:lvlText w:val="%4."/>
      <w:lvlJc w:val="left"/>
      <w:pPr>
        <w:ind w:left="2307" w:hanging="440"/>
      </w:pPr>
    </w:lvl>
    <w:lvl w:ilvl="4" w:tentative="0">
      <w:start w:val="1"/>
      <w:numFmt w:val="lowerLetter"/>
      <w:lvlText w:val="%5)"/>
      <w:lvlJc w:val="left"/>
      <w:pPr>
        <w:ind w:left="2747" w:hanging="440"/>
      </w:pPr>
    </w:lvl>
    <w:lvl w:ilvl="5" w:tentative="0">
      <w:start w:val="1"/>
      <w:numFmt w:val="lowerRoman"/>
      <w:lvlText w:val="%6."/>
      <w:lvlJc w:val="right"/>
      <w:pPr>
        <w:ind w:left="3187" w:hanging="440"/>
      </w:pPr>
    </w:lvl>
    <w:lvl w:ilvl="6" w:tentative="0">
      <w:start w:val="1"/>
      <w:numFmt w:val="decimal"/>
      <w:lvlText w:val="%7."/>
      <w:lvlJc w:val="left"/>
      <w:pPr>
        <w:ind w:left="3627" w:hanging="440"/>
      </w:pPr>
    </w:lvl>
    <w:lvl w:ilvl="7" w:tentative="0">
      <w:start w:val="1"/>
      <w:numFmt w:val="lowerLetter"/>
      <w:lvlText w:val="%8)"/>
      <w:lvlJc w:val="left"/>
      <w:pPr>
        <w:ind w:left="4067" w:hanging="440"/>
      </w:pPr>
    </w:lvl>
    <w:lvl w:ilvl="8" w:tentative="0">
      <w:start w:val="1"/>
      <w:numFmt w:val="lowerRoman"/>
      <w:lvlText w:val="%9."/>
      <w:lvlJc w:val="right"/>
      <w:pPr>
        <w:ind w:left="4507" w:hanging="440"/>
      </w:pPr>
    </w:lvl>
  </w:abstractNum>
  <w:abstractNum w:abstractNumId="5">
    <w:nsid w:val="58C9FABF"/>
    <w:multiLevelType w:val="singleLevel"/>
    <w:tmpl w:val="58C9FABF"/>
    <w:lvl w:ilvl="0" w:tentative="0">
      <w:start w:val="1"/>
      <w:numFmt w:val="decimal"/>
      <w:suff w:val="nothing"/>
      <w:lvlText w:val="（%1）"/>
      <w:lvlJc w:val="left"/>
      <w:pPr>
        <w:ind w:left="547" w:firstLine="0"/>
      </w:pPr>
    </w:lvl>
  </w:abstractNum>
  <w:abstractNum w:abstractNumId="6">
    <w:nsid w:val="69FEC07E"/>
    <w:multiLevelType w:val="singleLevel"/>
    <w:tmpl w:val="69FEC07E"/>
    <w:lvl w:ilvl="0" w:tentative="0">
      <w:start w:val="1"/>
      <w:numFmt w:val="decimal"/>
      <w:suff w:val="nothing"/>
      <w:lvlText w:val="（%1）"/>
      <w:lvlJc w:val="left"/>
    </w:lvl>
  </w:abstractNum>
  <w:abstractNum w:abstractNumId="7">
    <w:nsid w:val="6B081988"/>
    <w:multiLevelType w:val="multilevel"/>
    <w:tmpl w:val="6B081988"/>
    <w:lvl w:ilvl="0" w:tentative="0">
      <w:start w:val="5"/>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5"/>
  </w:num>
  <w:num w:numId="2">
    <w:abstractNumId w:val="4"/>
  </w:num>
  <w:num w:numId="3">
    <w:abstractNumId w:val="6"/>
  </w:num>
  <w:num w:numId="4">
    <w:abstractNumId w:val="0"/>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2EEF2FD4"/>
    <w:rsid w:val="2EEF2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List 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customStyle="1" w:styleId="8">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2023-10-19T03:39:00Z</dcterms:created>
  <dc:creator>叶菲</dc:creator>
  <cp:lastModifiedBy>叶菲</cp:lastModifiedBy>
  <dcterms:modified xsi:type="dcterms:W3CDTF">2023-10-19T03:39:35Z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ED2178BCE2C14851BE273DBA900E9BA2_11</vt:lpwstr>
  </property>
</Properties>
</file>