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6</w:t>
      </w:r>
    </w:p>
    <w:p>
      <w:pPr>
        <w:spacing w:line="600" w:lineRule="exact"/>
        <w:jc w:val="center"/>
        <w:rPr>
          <w:rFonts w:hint="eastAsia" w:ascii="方正小标宋_GBK" w:hAnsi="方正小标宋_GBK" w:eastAsia="方正小标宋_GBK" w:cs="方正小标宋_GBK"/>
          <w:b w:val="0"/>
          <w:bCs/>
          <w:sz w:val="44"/>
          <w:szCs w:val="44"/>
        </w:rPr>
      </w:pPr>
      <w:bookmarkStart w:id="3" w:name="_GoBack"/>
      <w:r>
        <w:rPr>
          <w:rFonts w:hint="eastAsia" w:ascii="方正小标宋_GBK" w:hAnsi="方正小标宋_GBK" w:eastAsia="方正小标宋_GBK" w:cs="方正小标宋_GBK"/>
          <w:b w:val="0"/>
          <w:bCs/>
          <w:sz w:val="44"/>
          <w:szCs w:val="44"/>
          <w:lang w:eastAsia="zh-CN"/>
        </w:rPr>
        <w:t>广州市</w:t>
      </w:r>
      <w:r>
        <w:rPr>
          <w:rFonts w:hint="eastAsia" w:ascii="方正小标宋_GBK" w:hAnsi="方正小标宋_GBK" w:eastAsia="方正小标宋_GBK" w:cs="方正小标宋_GBK"/>
          <w:b w:val="0"/>
          <w:bCs/>
          <w:sz w:val="44"/>
          <w:szCs w:val="44"/>
        </w:rPr>
        <w:t>“食在广州”</w:t>
      </w:r>
      <w:r>
        <w:rPr>
          <w:rFonts w:hint="eastAsia" w:ascii="方正小标宋_GBK" w:hAnsi="方正小标宋_GBK" w:eastAsia="方正小标宋_GBK" w:cs="方正小标宋_GBK"/>
          <w:b w:val="0"/>
          <w:bCs/>
          <w:sz w:val="44"/>
          <w:szCs w:val="44"/>
          <w:lang w:eastAsia="zh-CN"/>
        </w:rPr>
        <w:t>评价</w:t>
      </w:r>
      <w:r>
        <w:rPr>
          <w:rFonts w:hint="eastAsia" w:ascii="方正小标宋_GBK" w:hAnsi="方正小标宋_GBK" w:eastAsia="方正小标宋_GBK" w:cs="方正小标宋_GBK"/>
          <w:b w:val="0"/>
          <w:bCs/>
          <w:sz w:val="44"/>
          <w:szCs w:val="44"/>
        </w:rPr>
        <w:t>认证技术规范</w:t>
      </w:r>
    </w:p>
    <w:p>
      <w:pPr>
        <w:spacing w:line="600" w:lineRule="exact"/>
        <w:jc w:val="center"/>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（预包装食品</w:t>
      </w:r>
      <w:r>
        <w:rPr>
          <w:rFonts w:hint="eastAsia" w:ascii="方正楷体_GBK" w:hAnsi="方正楷体_GBK" w:eastAsia="方正楷体_GBK" w:cs="方正楷体_GBK"/>
          <w:b w:val="0"/>
          <w:bCs/>
          <w:sz w:val="32"/>
          <w:szCs w:val="32"/>
          <w:lang w:val="en-US" w:eastAsia="zh-CN"/>
        </w:rPr>
        <w:t>类</w:t>
      </w:r>
      <w:r>
        <w:rPr>
          <w:rFonts w:hint="eastAsia" w:ascii="方正楷体_GBK" w:hAnsi="方正楷体_GBK" w:eastAsia="方正楷体_GBK" w:cs="方正楷体_GBK"/>
          <w:b w:val="0"/>
          <w:bCs/>
          <w:sz w:val="32"/>
          <w:szCs w:val="32"/>
        </w:rPr>
        <w:t>：糕点）</w:t>
      </w:r>
    </w:p>
    <w:bookmarkEnd w:id="3"/>
    <w:p>
      <w:pPr>
        <w:spacing w:line="600" w:lineRule="exact"/>
        <w:rPr>
          <w:rFonts w:hint="default" w:ascii="Times New Roman" w:hAnsi="Times New Roman" w:eastAsia="方正仿宋_GBK" w:cs="Times New Roman"/>
          <w:b/>
          <w:sz w:val="32"/>
          <w:szCs w:val="32"/>
        </w:rPr>
      </w:pPr>
    </w:p>
    <w:p>
      <w:pPr>
        <w:spacing w:line="600" w:lineRule="exact"/>
        <w:ind w:firstLine="627" w:firstLineChars="19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一、认证产品范围</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糕点产品包括以粮、油、糖、蛋等为主要原料，添加适量辅料，并经调制、成型、熟制、包装等工序制成的食品。包括：烘烤类糕点（酥类、松酥类、松脆类、酥层类、酥皮类、松酥皮类、糖浆皮类、硬酥类、水油皮类、发酵类、烤蛋糕类、烘糕类等）；油炸类糕点（酥皮类、水油皮类、松酥类、酥层类、水调类、发酵类、上糖浆类等）；蒸煮类糕点（蒸蛋糕类、印模糕类、韧糕类、发糕类、松糕类、棕子类、糕团类、水油皮类等）；熟粉类糕点（冷调韧糕类、热调韧糕类、印模糕类、片糕类等）等。</w:t>
      </w:r>
    </w:p>
    <w:p>
      <w:pPr>
        <w:spacing w:line="60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二、认证相关标准</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2760  食品安全国家标准  食品添加剂使用标准</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2761  食品安全国家标准  食品中真菌毒素限量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2762  食品安全国家标准  食品中污染物限量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7099  食品安全国家标准  糕点、面包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8957   食品安全国家标准  糕点、面包卫生规范</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11761  芝麻</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19855  月饼</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20452  仁用杏杏仁质量等级</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20977  糕点通则</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LY/T 1922  核桃仁</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产品明示标准和质量要求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相关的法律法规、部门规章和规定</w:t>
      </w:r>
    </w:p>
    <w:p>
      <w:pPr>
        <w:spacing w:line="60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三、认证产品要求</w:t>
      </w:r>
    </w:p>
    <w:p>
      <w:pPr>
        <w:spacing w:line="600" w:lineRule="exact"/>
        <w:ind w:firstLine="643" w:firstLineChars="200"/>
        <w:rPr>
          <w:rFonts w:hint="default" w:ascii="Times New Roman" w:hAnsi="Times New Roman" w:eastAsia="方正仿宋_GBK" w:cs="Times New Roman"/>
          <w:b/>
          <w:sz w:val="32"/>
          <w:szCs w:val="32"/>
        </w:rPr>
      </w:pPr>
      <w:bookmarkStart w:id="0" w:name="_Hlk143463071"/>
      <w:bookmarkStart w:id="1" w:name="_Hlk143466613"/>
      <w:r>
        <w:rPr>
          <w:rFonts w:hint="default" w:ascii="Times New Roman" w:hAnsi="Times New Roman" w:eastAsia="方正仿宋_GBK" w:cs="Times New Roman"/>
          <w:b/>
          <w:sz w:val="32"/>
          <w:szCs w:val="32"/>
        </w:rPr>
        <w:t>3.1  产品要求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认证的糕点产品应以当地传统生产工艺为传承，具有地方特色风味，或可体现广府文化特色，或品质优良，可代表广州品牌形象的预包装糕点食品。</w:t>
      </w:r>
    </w:p>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3.2  企业要求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申请糕点产品</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3.3  原辅料要求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认证的糕点产品的原辅料需符合国家强制性标准及其执行标准的要求，且在满足生产工艺需求下，原则上符合最优质量等级要求。影响特色风味的关键原辅料应符合以下要求：</w:t>
      </w:r>
      <w:bookmarkEnd w:id="0"/>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3.3.1　莲子</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粒体大小均匀、有光泽、无腐烂、色泽正常、无杂质、无虫蛀；水分≤10%。</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3.3.2　咸蛋黄</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生咸蛋黄应为橘红色或黄色球状凝胶体，表面润滑、光亮、无糊溶、无裂纹、无虫蚀。煮熟后蛋黄结实、沙心含油。空心、白心、硬心率不超过0.20%。</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3.3.3　坚果</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核桃仁应符合LY/T 1922-2010要求；芝麻仁 GB/T 11761-2006要求；杏仁应符合 GB/T 20452-2006要求。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3.3.4 果仁馅料</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以果仁为主要原料，按照广东地区制作工艺加工制成。按配方计算，馅料中果仁总体添加量应不低于20%。其中广式五仁月饼仅使用核桃仁、杏仁、橄榄仁、瓜子仁、芝麻仁五种果仁为主要原料。</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3.3.5 莲蓉馅料</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以莲子为主要原料加工制成。按配方计算，在该类馅料中除油、糖、水这些配料以外，纯莲蓉月饼的莲子的添加量为100%；莲蓉月饼的莲子添加量不低于60%。</w:t>
      </w:r>
    </w:p>
    <w:p>
      <w:pPr>
        <w:spacing w:line="600" w:lineRule="exact"/>
        <w:ind w:firstLine="643" w:firstLineChars="200"/>
        <w:rPr>
          <w:rFonts w:hint="default" w:ascii="Times New Roman" w:hAnsi="Times New Roman" w:eastAsia="方正仿宋_GBK" w:cs="Times New Roman"/>
          <w:b/>
          <w:sz w:val="32"/>
          <w:szCs w:val="32"/>
        </w:rPr>
      </w:pPr>
      <w:bookmarkStart w:id="2" w:name="_Hlk143463840"/>
      <w:r>
        <w:rPr>
          <w:rFonts w:hint="default" w:ascii="Times New Roman" w:hAnsi="Times New Roman" w:eastAsia="方正仿宋_GBK" w:cs="Times New Roman"/>
          <w:b/>
          <w:sz w:val="32"/>
          <w:szCs w:val="32"/>
        </w:rPr>
        <w:t>3.4  生产工艺要求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认证产品的生产工艺应具备当地传统工艺，体现地方文化特色，其生产设备、生产环境卫生标准、生产工艺流程等应同时符合国家相关法律法规的要求。如：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广式月饼：以广东地区制作工艺和风味特色为代表，以小麦粉等谷物粉、花生油等为原料，添加或不添加糖浆制成饼皮，经包馅、成形、刷蛋或植物蛋白液（或都不刷）、烘烤（或不烘烤）等工艺加工制成。广式月饼的代表品种有：广式蓉沙月饼、广式果仁月饼、广式蛋黄月饼等。</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鸡仔饼：以广东地区制作工艺和风味特色为代表，以小麦粉、腐乳、麦芽糖、冰猪肉（高度白酒腌制）、大蒜、白砂糖、食用猪油或植物油等为主要原料，利用特色工艺制备麦芽糖浆皮，后经拌料、成型、烘烤而制成。</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老婆饼：以广东地区制作工艺和风味特色为代表，以小麦粉、冬蓉（糖瓜粒）、椰蓉、芝麻、白砂糖、食用猪油或植物油等为主要原料，利用特色工艺制成水油皮和酥心，结合秘制冬蓉馅料，后经拌料、成型、烘烤而制成。</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其他糕点：以广东地区工艺制作，具有广式风味特色的其他糕点。</w:t>
      </w:r>
    </w:p>
    <w:bookmarkEnd w:id="1"/>
    <w:bookmarkEnd w:id="2"/>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3.5  产品品质要求</w:t>
      </w:r>
    </w:p>
    <w:p>
      <w:pPr>
        <w:spacing w:line="600" w:lineRule="exact"/>
        <w:ind w:firstLine="640" w:firstLineChars="200"/>
        <w:rPr>
          <w:rFonts w:hint="default" w:ascii="Times New Roman" w:hAnsi="Times New Roman" w:eastAsia="方正仿宋_GBK" w:cs="Times New Roman"/>
          <w:b/>
          <w:sz w:val="32"/>
          <w:szCs w:val="32"/>
        </w:rPr>
      </w:pP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认证的糕点产品应具备当地风味和口感特色，品质应符合或优于下列要求。</w:t>
      </w:r>
    </w:p>
    <w:p>
      <w:pPr>
        <w:spacing w:line="60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3.5.1 感官指标要求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糕点（广式月饼除外）的感官指标应符合表1要求，广式月饼感官指标应符合表2要求要求。</w:t>
      </w:r>
    </w:p>
    <w:p>
      <w:pPr>
        <w:spacing w:line="600" w:lineRule="exact"/>
        <w:ind w:firstLine="640" w:firstLineChars="200"/>
        <w:rPr>
          <w:rFonts w:hint="default" w:ascii="Times New Roman" w:hAnsi="Times New Roman" w:eastAsia="方正仿宋_GBK" w:cs="Times New Roman"/>
          <w:sz w:val="32"/>
          <w:szCs w:val="32"/>
        </w:rPr>
      </w:pPr>
    </w:p>
    <w:p>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表1 中式糕点感官指标要求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9"/>
        <w:gridCol w:w="850"/>
        <w:gridCol w:w="851"/>
        <w:gridCol w:w="853"/>
        <w:gridCol w:w="854"/>
        <w:gridCol w:w="853"/>
        <w:gridCol w:w="854"/>
        <w:gridCol w:w="85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29" w:type="dxa"/>
            <w:vMerge w:val="restart"/>
            <w:noWrap w:val="0"/>
            <w:tcMar>
              <w:left w:w="57" w:type="dxa"/>
              <w:right w:w="57" w:type="dxa"/>
            </w:tcMar>
            <w:vAlign w:val="center"/>
          </w:tcPr>
          <w:p>
            <w:pPr>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项目</w:t>
            </w:r>
          </w:p>
        </w:tc>
        <w:tc>
          <w:tcPr>
            <w:tcW w:w="1701"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烘烤糕点</w:t>
            </w:r>
          </w:p>
        </w:tc>
        <w:tc>
          <w:tcPr>
            <w:tcW w:w="1707"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油炸糕点</w:t>
            </w:r>
          </w:p>
        </w:tc>
        <w:tc>
          <w:tcPr>
            <w:tcW w:w="1707"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水蒸糕点</w:t>
            </w:r>
          </w:p>
        </w:tc>
        <w:tc>
          <w:tcPr>
            <w:tcW w:w="1711"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熟粉糕点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29" w:type="dxa"/>
            <w:vMerge w:val="continue"/>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p>
        </w:tc>
        <w:tc>
          <w:tcPr>
            <w:tcW w:w="85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蛋糕类</w:t>
            </w:r>
          </w:p>
        </w:tc>
        <w:tc>
          <w:tcPr>
            <w:tcW w:w="851"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萨其马类</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蛋糕类</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片糕类</w:t>
            </w:r>
          </w:p>
        </w:tc>
        <w:tc>
          <w:tcPr>
            <w:tcW w:w="858"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2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形态</w:t>
            </w:r>
          </w:p>
        </w:tc>
        <w:tc>
          <w:tcPr>
            <w:tcW w:w="6826" w:type="dxa"/>
            <w:gridSpan w:val="8"/>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符合执行标准对应产品类别形态要求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2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色泽</w:t>
            </w:r>
          </w:p>
        </w:tc>
        <w:tc>
          <w:tcPr>
            <w:tcW w:w="6826" w:type="dxa"/>
            <w:gridSpan w:val="8"/>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符合执行标准对应产品类别色泽要求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2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组织、滋味与口感</w:t>
            </w:r>
          </w:p>
        </w:tc>
        <w:tc>
          <w:tcPr>
            <w:tcW w:w="6826" w:type="dxa"/>
            <w:gridSpan w:val="8"/>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符合执行标准对应产品类别组织、滋味与口感要求；老婆饼饼皮松软、层层甘酥，馅心滋润软糯，香甜不腻；鸡仔饼金黄酥脆，甜中带咸，口感丰富，具有酒香、肉香、蒜蓉辛香、南乳鲜香、花生芝麻香的香气及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2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杂质</w:t>
            </w:r>
          </w:p>
        </w:tc>
        <w:tc>
          <w:tcPr>
            <w:tcW w:w="6826" w:type="dxa"/>
            <w:gridSpan w:val="8"/>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正常视力无可见异物</w:t>
            </w:r>
          </w:p>
        </w:tc>
      </w:tr>
    </w:tbl>
    <w:p>
      <w:pPr>
        <w:spacing w:line="360" w:lineRule="auto"/>
        <w:jc w:val="center"/>
        <w:rPr>
          <w:rFonts w:hint="default" w:ascii="Times New Roman" w:hAnsi="Times New Roman" w:eastAsia="方正仿宋_GBK" w:cs="Times New Roman"/>
          <w:sz w:val="28"/>
          <w:szCs w:val="28"/>
        </w:rPr>
      </w:pPr>
    </w:p>
    <w:p>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表2 广式月饼感官指标要求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3"/>
        <w:gridCol w:w="6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203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项目</w:t>
            </w:r>
          </w:p>
        </w:tc>
        <w:tc>
          <w:tcPr>
            <w:tcW w:w="668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3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形态</w:t>
            </w:r>
          </w:p>
        </w:tc>
        <w:tc>
          <w:tcPr>
            <w:tcW w:w="668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外形饱满，轮廓分明，花纹清晰，不摊塌、无跑糖及漏馅现象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3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色泽</w:t>
            </w:r>
          </w:p>
        </w:tc>
        <w:tc>
          <w:tcPr>
            <w:tcW w:w="668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具有该品种应有色泽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3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组织</w:t>
            </w:r>
          </w:p>
        </w:tc>
        <w:tc>
          <w:tcPr>
            <w:tcW w:w="668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饼皮厚薄均匀，皮馅无脱壳现象，馅料无夹生；果仁月饼果仁颗粒大小适宜；蛋黄月饼馅</w:t>
            </w:r>
          </w:p>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料应完全包裹蛋黄，切开后蛋黄起沙流油，无硬芯；流心月饼馅料具有一定的流动性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3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滋味与口感</w:t>
            </w:r>
          </w:p>
        </w:tc>
        <w:tc>
          <w:tcPr>
            <w:tcW w:w="668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饼皮绵软，具有该品种应有的风味，无异味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3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杂质</w:t>
            </w:r>
          </w:p>
        </w:tc>
        <w:tc>
          <w:tcPr>
            <w:tcW w:w="668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正常视力无可见异物</w:t>
            </w:r>
          </w:p>
        </w:tc>
      </w:tr>
    </w:tbl>
    <w:p>
      <w:pPr>
        <w:spacing w:line="60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3.5.2 理化品质指标要求</w:t>
      </w:r>
    </w:p>
    <w:p>
      <w:pPr>
        <w:spacing w:line="600" w:lineRule="exact"/>
        <w:ind w:firstLine="64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糕点（广式月饼除外）的理化品质指标应符合表3要求，广式月饼理化品质指标应符合表4要求要求。</w:t>
      </w:r>
    </w:p>
    <w:p>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表3 中式糕点理化品质指标要求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3"/>
        <w:gridCol w:w="850"/>
        <w:gridCol w:w="851"/>
        <w:gridCol w:w="853"/>
        <w:gridCol w:w="854"/>
        <w:gridCol w:w="853"/>
        <w:gridCol w:w="854"/>
        <w:gridCol w:w="85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vMerge w:val="restart"/>
            <w:noWrap w:val="0"/>
            <w:tcMar>
              <w:left w:w="57" w:type="dxa"/>
              <w:right w:w="57" w:type="dxa"/>
            </w:tcMar>
            <w:vAlign w:val="center"/>
          </w:tcPr>
          <w:p>
            <w:pPr>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项目</w:t>
            </w:r>
          </w:p>
        </w:tc>
        <w:tc>
          <w:tcPr>
            <w:tcW w:w="1701"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烘烤糕点</w:t>
            </w:r>
          </w:p>
        </w:tc>
        <w:tc>
          <w:tcPr>
            <w:tcW w:w="1707"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油炸糕点</w:t>
            </w:r>
          </w:p>
        </w:tc>
        <w:tc>
          <w:tcPr>
            <w:tcW w:w="1707"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水蒸糕点</w:t>
            </w:r>
          </w:p>
        </w:tc>
        <w:tc>
          <w:tcPr>
            <w:tcW w:w="1711"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熟粉糕点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vMerge w:val="continue"/>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p>
        </w:tc>
        <w:tc>
          <w:tcPr>
            <w:tcW w:w="85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蛋糕类</w:t>
            </w:r>
          </w:p>
        </w:tc>
        <w:tc>
          <w:tcPr>
            <w:tcW w:w="851"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萨其马类</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蛋糕类</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片糕类</w:t>
            </w:r>
          </w:p>
        </w:tc>
        <w:tc>
          <w:tcPr>
            <w:tcW w:w="858"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干燥失重/(g/100g)   ≤</w:t>
            </w:r>
          </w:p>
        </w:tc>
        <w:tc>
          <w:tcPr>
            <w:tcW w:w="1701" w:type="dxa"/>
            <w:gridSpan w:val="2"/>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42.0</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18.0</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24.0</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35.0</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44.0</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22.0</w:t>
            </w:r>
          </w:p>
        </w:tc>
        <w:tc>
          <w:tcPr>
            <w:tcW w:w="858"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蛋白质/(g/100g)     ≥</w:t>
            </w:r>
          </w:p>
        </w:tc>
        <w:tc>
          <w:tcPr>
            <w:tcW w:w="85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4.0</w:t>
            </w:r>
          </w:p>
        </w:tc>
        <w:tc>
          <w:tcPr>
            <w:tcW w:w="851"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4.0</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4.0</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4.0</w:t>
            </w:r>
          </w:p>
        </w:tc>
        <w:tc>
          <w:tcPr>
            <w:tcW w:w="858"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粗脂肪/(g/100g)     ≤</w:t>
            </w:r>
          </w:p>
        </w:tc>
        <w:tc>
          <w:tcPr>
            <w:tcW w:w="85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c>
          <w:tcPr>
            <w:tcW w:w="851"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34.0</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42.0</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42.0</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c>
          <w:tcPr>
            <w:tcW w:w="858"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23"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总糖/(g/100g)       ≤</w:t>
            </w:r>
          </w:p>
        </w:tc>
        <w:tc>
          <w:tcPr>
            <w:tcW w:w="85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42.0</w:t>
            </w:r>
          </w:p>
        </w:tc>
        <w:tc>
          <w:tcPr>
            <w:tcW w:w="851"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40.0</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35.0</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42.0</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46.0</w:t>
            </w:r>
          </w:p>
        </w:tc>
        <w:tc>
          <w:tcPr>
            <w:tcW w:w="854"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42.0</w:t>
            </w:r>
          </w:p>
        </w:tc>
        <w:tc>
          <w:tcPr>
            <w:tcW w:w="85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50.0</w:t>
            </w:r>
          </w:p>
        </w:tc>
        <w:tc>
          <w:tcPr>
            <w:tcW w:w="858"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23"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酸价(以脂肪计)(KOH)</w:t>
            </w:r>
          </w:p>
          <w:p>
            <w:pPr>
              <w:widowControl/>
              <w:jc w:val="left"/>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/(mg/g)            ≤</w:t>
            </w:r>
          </w:p>
        </w:tc>
        <w:tc>
          <w:tcPr>
            <w:tcW w:w="6826" w:type="dxa"/>
            <w:gridSpan w:val="8"/>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23"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过氧化值（以脂肪计）</w:t>
            </w:r>
          </w:p>
          <w:p>
            <w:pPr>
              <w:widowControl/>
              <w:jc w:val="left"/>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/(g/100g)           ≤</w:t>
            </w:r>
          </w:p>
        </w:tc>
        <w:tc>
          <w:tcPr>
            <w:tcW w:w="6826" w:type="dxa"/>
            <w:gridSpan w:val="8"/>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749" w:type="dxa"/>
            <w:gridSpan w:val="9"/>
            <w:noWrap w:val="0"/>
            <w:tcMar>
              <w:left w:w="57" w:type="dxa"/>
              <w:right w:w="57" w:type="dxa"/>
            </w:tcMar>
            <w:vAlign w:val="center"/>
          </w:tcPr>
          <w:p>
            <w:pPr>
              <w:widowControl/>
              <w:jc w:val="left"/>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注：酸价和过氧化值指标仅适用于配料中添加油脂的产品。</w:t>
            </w:r>
          </w:p>
        </w:tc>
      </w:tr>
    </w:tbl>
    <w:p>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表4 广式月饼理化品质指标要求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1636"/>
        <w:gridCol w:w="1775"/>
        <w:gridCol w:w="1559"/>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990"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项目</w:t>
            </w:r>
          </w:p>
        </w:tc>
        <w:tc>
          <w:tcPr>
            <w:tcW w:w="1636"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广式蓉沙月饼</w:t>
            </w:r>
          </w:p>
        </w:tc>
        <w:tc>
          <w:tcPr>
            <w:tcW w:w="1775"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广式果仁月饼</w:t>
            </w:r>
          </w:p>
        </w:tc>
        <w:tc>
          <w:tcPr>
            <w:tcW w:w="155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广式蛋黄月饼</w:t>
            </w:r>
          </w:p>
        </w:tc>
        <w:tc>
          <w:tcPr>
            <w:tcW w:w="1772" w:type="dxa"/>
            <w:noWrap w:val="0"/>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其它广式月饼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0"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水分/(g/100g)       ≤</w:t>
            </w:r>
          </w:p>
        </w:tc>
        <w:tc>
          <w:tcPr>
            <w:tcW w:w="1636"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25</w:t>
            </w:r>
          </w:p>
        </w:tc>
        <w:tc>
          <w:tcPr>
            <w:tcW w:w="1775"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28</w:t>
            </w:r>
          </w:p>
        </w:tc>
        <w:tc>
          <w:tcPr>
            <w:tcW w:w="155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23</w:t>
            </w:r>
          </w:p>
        </w:tc>
        <w:tc>
          <w:tcPr>
            <w:tcW w:w="1772" w:type="dxa"/>
            <w:noWrap w:val="0"/>
            <w:vAlign w:val="top"/>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0"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蛋白质/(g/100g)     ≥</w:t>
            </w:r>
          </w:p>
        </w:tc>
        <w:tc>
          <w:tcPr>
            <w:tcW w:w="1636"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 xml:space="preserve">— </w:t>
            </w:r>
          </w:p>
        </w:tc>
        <w:tc>
          <w:tcPr>
            <w:tcW w:w="1775"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6</w:t>
            </w:r>
          </w:p>
        </w:tc>
        <w:tc>
          <w:tcPr>
            <w:tcW w:w="155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 xml:space="preserve">— </w:t>
            </w:r>
          </w:p>
        </w:tc>
        <w:tc>
          <w:tcPr>
            <w:tcW w:w="1772" w:type="dxa"/>
            <w:noWrap w:val="0"/>
            <w:vAlign w:val="top"/>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5</w:t>
            </w:r>
          </w:p>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（肉与肉制品月饼、水产品及水产制品月饼）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0"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脂肪/(g/100g)       ≤</w:t>
            </w:r>
          </w:p>
        </w:tc>
        <w:tc>
          <w:tcPr>
            <w:tcW w:w="1636"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24</w:t>
            </w:r>
          </w:p>
        </w:tc>
        <w:tc>
          <w:tcPr>
            <w:tcW w:w="1775"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35</w:t>
            </w:r>
          </w:p>
        </w:tc>
        <w:tc>
          <w:tcPr>
            <w:tcW w:w="155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30</w:t>
            </w:r>
          </w:p>
        </w:tc>
        <w:tc>
          <w:tcPr>
            <w:tcW w:w="1772" w:type="dxa"/>
            <w:noWrap w:val="0"/>
            <w:vAlign w:val="top"/>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0"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总糖/(g/100g)       ≤</w:t>
            </w:r>
          </w:p>
        </w:tc>
        <w:tc>
          <w:tcPr>
            <w:tcW w:w="6742" w:type="dxa"/>
            <w:gridSpan w:val="4"/>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0"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馅料含量/(g/100g)   ≥</w:t>
            </w:r>
          </w:p>
        </w:tc>
        <w:tc>
          <w:tcPr>
            <w:tcW w:w="4970" w:type="dxa"/>
            <w:gridSpan w:val="3"/>
            <w:noWrap w:val="0"/>
            <w:tcMar>
              <w:left w:w="57" w:type="dxa"/>
              <w:right w:w="57" w:type="dxa"/>
            </w:tcMar>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68</w:t>
            </w:r>
          </w:p>
        </w:tc>
        <w:tc>
          <w:tcPr>
            <w:tcW w:w="1772" w:type="dxa"/>
            <w:noWrap w:val="0"/>
            <w:vAlign w:val="top"/>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65（流心月饼≥50）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0"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酸价(以脂肪计)(KOH)</w:t>
            </w:r>
          </w:p>
          <w:p>
            <w:pPr>
              <w:widowControl/>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/(mg/g)            ≤</w:t>
            </w:r>
          </w:p>
        </w:tc>
        <w:tc>
          <w:tcPr>
            <w:tcW w:w="6742" w:type="dxa"/>
            <w:gridSpan w:val="4"/>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0" w:type="dxa"/>
            <w:noWrap w:val="0"/>
            <w:tcMar>
              <w:left w:w="57" w:type="dxa"/>
              <w:right w:w="57" w:type="dxa"/>
            </w:tcMar>
            <w:vAlign w:val="center"/>
          </w:tcPr>
          <w:p>
            <w:pPr>
              <w:widowControl/>
              <w:jc w:val="left"/>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过氧化值（以脂肪计）</w:t>
            </w:r>
          </w:p>
          <w:p>
            <w:pPr>
              <w:widowControl/>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kern w:val="0"/>
                <w:sz w:val="28"/>
                <w:szCs w:val="28"/>
                <w:lang w:bidi="ar"/>
              </w:rPr>
              <w:t>/(g/100g)           ≤</w:t>
            </w:r>
          </w:p>
        </w:tc>
        <w:tc>
          <w:tcPr>
            <w:tcW w:w="6742" w:type="dxa"/>
            <w:gridSpan w:val="4"/>
            <w:noWrap w:val="0"/>
            <w:tcMar>
              <w:left w:w="57" w:type="dxa"/>
              <w:right w:w="57" w:type="dxa"/>
            </w:tcMar>
            <w:vAlign w:val="center"/>
          </w:tcPr>
          <w:p>
            <w:pPr>
              <w:widowControl/>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32" w:type="dxa"/>
            <w:gridSpan w:val="5"/>
            <w:noWrap w:val="0"/>
            <w:tcMar>
              <w:left w:w="57" w:type="dxa"/>
              <w:right w:w="57" w:type="dxa"/>
            </w:tcMar>
            <w:vAlign w:val="center"/>
          </w:tcPr>
          <w:p>
            <w:pPr>
              <w:widowControl/>
              <w:jc w:val="left"/>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酸价和过氧化值项目限添加了油脂的产品检测</w:t>
            </w:r>
          </w:p>
        </w:tc>
      </w:tr>
    </w:tbl>
    <w:p>
      <w:pPr>
        <w:spacing w:line="360" w:lineRule="auto"/>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3.5.3 污染物指标要求</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应符合表5要求。</w:t>
      </w:r>
    </w:p>
    <w:p>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表5 污染物指标要求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96"/>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96"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项目</w:t>
            </w:r>
          </w:p>
        </w:tc>
        <w:tc>
          <w:tcPr>
            <w:tcW w:w="565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限量/（mg/kg）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96"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铅（以Pb计）</w:t>
            </w:r>
          </w:p>
        </w:tc>
        <w:tc>
          <w:tcPr>
            <w:tcW w:w="5659"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0.5</w:t>
            </w:r>
          </w:p>
        </w:tc>
      </w:tr>
    </w:tbl>
    <w:p>
      <w:pPr>
        <w:spacing w:line="360" w:lineRule="auto"/>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3.5.4 真菌毒素指标要求</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应符合表6要求。</w:t>
      </w:r>
    </w:p>
    <w:p>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表6 真菌毒素指标要求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2"/>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72"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项目</w:t>
            </w:r>
          </w:p>
        </w:tc>
        <w:tc>
          <w:tcPr>
            <w:tcW w:w="438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限量/（μg/kg）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72"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黄曲霉毒素B</w:t>
            </w:r>
            <w:r>
              <w:rPr>
                <w:rFonts w:hint="default" w:ascii="Times New Roman" w:hAnsi="Times New Roman" w:eastAsia="方正仿宋_GBK" w:cs="Times New Roman"/>
                <w:color w:val="000000"/>
                <w:kern w:val="0"/>
                <w:sz w:val="28"/>
                <w:szCs w:val="28"/>
                <w:vertAlign w:val="subscript"/>
                <w:lang w:bidi="ar"/>
              </w:rPr>
              <w:t>1</w:t>
            </w:r>
          </w:p>
        </w:tc>
        <w:tc>
          <w:tcPr>
            <w:tcW w:w="438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72"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highlight w:val="yellow"/>
                <w:lang w:bidi="ar"/>
              </w:rPr>
            </w:pPr>
            <w:r>
              <w:rPr>
                <w:rFonts w:hint="default" w:ascii="Times New Roman" w:hAnsi="Times New Roman" w:eastAsia="方正仿宋_GBK" w:cs="Times New Roman"/>
                <w:color w:val="000000"/>
                <w:kern w:val="0"/>
                <w:sz w:val="28"/>
                <w:szCs w:val="28"/>
                <w:lang w:bidi="ar"/>
              </w:rPr>
              <w:t>黄曲霉毒素总量（黄曲霉毒素B</w:t>
            </w:r>
            <w:r>
              <w:rPr>
                <w:rFonts w:hint="default" w:ascii="Times New Roman" w:hAnsi="Times New Roman" w:eastAsia="方正仿宋_GBK" w:cs="Times New Roman"/>
                <w:color w:val="000000"/>
                <w:kern w:val="0"/>
                <w:sz w:val="28"/>
                <w:szCs w:val="28"/>
                <w:vertAlign w:val="subscript"/>
                <w:lang w:bidi="ar"/>
              </w:rPr>
              <w:t>1</w:t>
            </w:r>
            <w:r>
              <w:rPr>
                <w:rFonts w:hint="default" w:ascii="Times New Roman" w:hAnsi="Times New Roman" w:eastAsia="方正仿宋_GBK" w:cs="Times New Roman"/>
                <w:color w:val="000000"/>
                <w:kern w:val="0"/>
                <w:sz w:val="28"/>
                <w:szCs w:val="28"/>
                <w:lang w:bidi="ar"/>
              </w:rPr>
              <w:t>、B</w:t>
            </w:r>
            <w:r>
              <w:rPr>
                <w:rFonts w:hint="default" w:ascii="Times New Roman" w:hAnsi="Times New Roman" w:eastAsia="方正仿宋_GBK" w:cs="Times New Roman"/>
                <w:color w:val="000000"/>
                <w:kern w:val="0"/>
                <w:sz w:val="28"/>
                <w:szCs w:val="28"/>
                <w:vertAlign w:val="subscript"/>
                <w:lang w:bidi="ar"/>
              </w:rPr>
              <w:t>2</w:t>
            </w:r>
            <w:r>
              <w:rPr>
                <w:rFonts w:hint="default" w:ascii="Times New Roman" w:hAnsi="Times New Roman" w:eastAsia="方正仿宋_GBK" w:cs="Times New Roman"/>
                <w:color w:val="000000"/>
                <w:kern w:val="0"/>
                <w:sz w:val="28"/>
                <w:szCs w:val="28"/>
                <w:lang w:bidi="ar"/>
              </w:rPr>
              <w:t>、G</w:t>
            </w:r>
            <w:r>
              <w:rPr>
                <w:rFonts w:hint="default" w:ascii="Times New Roman" w:hAnsi="Times New Roman" w:eastAsia="方正仿宋_GBK" w:cs="Times New Roman"/>
                <w:color w:val="000000"/>
                <w:kern w:val="0"/>
                <w:sz w:val="28"/>
                <w:szCs w:val="28"/>
                <w:vertAlign w:val="subscript"/>
                <w:lang w:bidi="ar"/>
              </w:rPr>
              <w:t>1</w:t>
            </w:r>
            <w:r>
              <w:rPr>
                <w:rFonts w:hint="default" w:ascii="Times New Roman" w:hAnsi="Times New Roman" w:eastAsia="方正仿宋_GBK" w:cs="Times New Roman"/>
                <w:color w:val="000000"/>
                <w:kern w:val="0"/>
                <w:sz w:val="28"/>
                <w:szCs w:val="28"/>
                <w:lang w:bidi="ar"/>
              </w:rPr>
              <w:t>和G</w:t>
            </w:r>
            <w:r>
              <w:rPr>
                <w:rFonts w:hint="default" w:ascii="Times New Roman" w:hAnsi="Times New Roman" w:eastAsia="方正仿宋_GBK" w:cs="Times New Roman"/>
                <w:color w:val="000000"/>
                <w:kern w:val="0"/>
                <w:sz w:val="28"/>
                <w:szCs w:val="28"/>
                <w:vertAlign w:val="subscript"/>
                <w:lang w:bidi="ar"/>
              </w:rPr>
              <w:t>2</w:t>
            </w:r>
            <w:r>
              <w:rPr>
                <w:rFonts w:hint="default" w:ascii="Times New Roman" w:hAnsi="Times New Roman" w:eastAsia="方正仿宋_GBK" w:cs="Times New Roman"/>
                <w:color w:val="000000"/>
                <w:kern w:val="0"/>
                <w:sz w:val="28"/>
                <w:szCs w:val="28"/>
                <w:lang w:bidi="ar"/>
              </w:rPr>
              <w:t>之和）</w:t>
            </w:r>
          </w:p>
        </w:tc>
        <w:tc>
          <w:tcPr>
            <w:tcW w:w="4383" w:type="dxa"/>
            <w:noWrap w:val="0"/>
            <w:tcMar>
              <w:left w:w="57" w:type="dxa"/>
              <w:right w:w="57" w:type="dxa"/>
            </w:tcMar>
            <w:vAlign w:val="center"/>
          </w:tcPr>
          <w:p>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10</w:t>
            </w:r>
          </w:p>
        </w:tc>
      </w:tr>
    </w:tbl>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3.5.5 添加剂指标要求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食品添加剂使用应符合GB 2760要求。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在保证生产工艺的前提下，申请</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认证的糕点产品应减少使用或不使用食品添加剂。</w:t>
      </w:r>
    </w:p>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3.5.6 微生物指标要求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应符合表7要求。</w:t>
      </w:r>
    </w:p>
    <w:p>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表7 微生物指标要求</w:t>
      </w:r>
    </w:p>
    <w:tbl>
      <w:tblPr>
        <w:tblStyle w:val="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1645"/>
        <w:gridCol w:w="1645"/>
        <w:gridCol w:w="164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5" w:type="dxa"/>
            <w:vMerge w:val="restart"/>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w:t>
            </w:r>
          </w:p>
        </w:tc>
        <w:tc>
          <w:tcPr>
            <w:tcW w:w="6040" w:type="dxa"/>
            <w:gridSpan w:val="4"/>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采样方案</w:t>
            </w:r>
            <w:r>
              <w:rPr>
                <w:rFonts w:hint="default" w:ascii="Times New Roman" w:hAnsi="Times New Roman" w:eastAsia="方正仿宋_GBK" w:cs="Times New Roman"/>
                <w:sz w:val="28"/>
                <w:szCs w:val="28"/>
                <w:vertAlign w:val="superscript"/>
              </w:rPr>
              <w:t>a</w:t>
            </w:r>
            <w:r>
              <w:rPr>
                <w:rFonts w:hint="default" w:ascii="Times New Roman" w:hAnsi="Times New Roman" w:eastAsia="方正仿宋_GBK" w:cs="Times New Roman"/>
                <w:sz w:val="28"/>
                <w:szCs w:val="28"/>
              </w:rPr>
              <w:t>及限量/（若非指定，均以CFU/g表示）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5" w:type="dxa"/>
            <w:vMerge w:val="continue"/>
            <w:noWrap w:val="0"/>
            <w:vAlign w:val="center"/>
          </w:tcPr>
          <w:p>
            <w:pPr>
              <w:jc w:val="center"/>
              <w:rPr>
                <w:rFonts w:hint="default" w:ascii="Times New Roman" w:hAnsi="Times New Roman" w:eastAsia="方正仿宋_GBK" w:cs="Times New Roman"/>
                <w:sz w:val="28"/>
                <w:szCs w:val="28"/>
              </w:rPr>
            </w:pP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m</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5"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菌落总数</w:t>
            </w:r>
            <w:r>
              <w:rPr>
                <w:rFonts w:hint="default" w:ascii="Times New Roman" w:hAnsi="Times New Roman" w:eastAsia="方正仿宋_GBK" w:cs="Times New Roman"/>
                <w:sz w:val="28"/>
                <w:szCs w:val="28"/>
                <w:vertAlign w:val="superscript"/>
              </w:rPr>
              <w:t>b</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4</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5"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大肠菌群</w:t>
            </w:r>
            <w:r>
              <w:rPr>
                <w:rFonts w:hint="default" w:ascii="Times New Roman" w:hAnsi="Times New Roman" w:eastAsia="方正仿宋_GBK" w:cs="Times New Roman"/>
                <w:sz w:val="28"/>
                <w:szCs w:val="28"/>
                <w:vertAlign w:val="superscript"/>
              </w:rPr>
              <w:t>b</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5"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霉菌</w:t>
            </w:r>
            <w:r>
              <w:rPr>
                <w:rFonts w:hint="default" w:ascii="Times New Roman" w:hAnsi="Times New Roman" w:eastAsia="方正仿宋_GBK" w:cs="Times New Roman"/>
                <w:sz w:val="28"/>
                <w:szCs w:val="28"/>
                <w:vertAlign w:val="superscript"/>
              </w:rPr>
              <w:t>c</w:t>
            </w:r>
          </w:p>
        </w:tc>
        <w:tc>
          <w:tcPr>
            <w:tcW w:w="6040" w:type="dxa"/>
            <w:gridSpan w:val="4"/>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kern w:val="0"/>
                <w:sz w:val="28"/>
                <w:szCs w:val="28"/>
                <w:lang w:bidi="ar"/>
              </w:rPr>
              <w:t>≤ 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5"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沙门氏菌</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0/25g</w:t>
            </w:r>
          </w:p>
        </w:tc>
        <w:tc>
          <w:tcPr>
            <w:tcW w:w="1510" w:type="dxa"/>
            <w:noWrap w:val="0"/>
            <w:vAlign w:val="center"/>
          </w:tcPr>
          <w:p>
            <w:pPr>
              <w:pStyle w:val="4"/>
              <w:spacing w:line="240" w:lineRule="auto"/>
              <w:ind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5"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金黄色葡萄球菌</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100</w:t>
            </w:r>
          </w:p>
        </w:tc>
        <w:tc>
          <w:tcPr>
            <w:tcW w:w="1510" w:type="dxa"/>
            <w:noWrap w:val="0"/>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25" w:type="dxa"/>
            <w:gridSpan w:val="5"/>
            <w:noWrap w:val="0"/>
            <w:vAlign w:val="center"/>
          </w:tcPr>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a样品的采集及处理按GB 4789.1执行。</w:t>
            </w:r>
          </w:p>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b菌落总数和大肠菌群的要求不适用于现制现售的产品以及含有未熟制的发酵配料或新鲜水果蔬菜的产品。</w:t>
            </w:r>
          </w:p>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c不适用于添加了霉菌成熟干酪的产品。</w:t>
            </w:r>
          </w:p>
        </w:tc>
      </w:tr>
    </w:tbl>
    <w:p>
      <w:pPr>
        <w:spacing w:line="600" w:lineRule="exact"/>
        <w:ind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四、产品检验要求</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申请糕点产品</w:t>
      </w:r>
      <w:r>
        <w:rPr>
          <w:rFonts w:hint="eastAsia" w:ascii="Times New Roman" w:hAnsi="Times New Roman" w:eastAsia="方正仿宋_GBK" w:cs="Times New Roman"/>
          <w:color w:val="000000"/>
          <w:sz w:val="32"/>
          <w:szCs w:val="32"/>
          <w:lang w:eastAsia="zh-CN"/>
        </w:rPr>
        <w:t>“食在广州”</w:t>
      </w:r>
      <w:r>
        <w:rPr>
          <w:rFonts w:hint="default" w:ascii="Times New Roman" w:hAnsi="Times New Roman" w:eastAsia="方正仿宋_GBK" w:cs="Times New Roman"/>
          <w:color w:val="000000"/>
          <w:sz w:val="32"/>
          <w:szCs w:val="32"/>
          <w:lang w:eastAsia="zh-CN"/>
        </w:rPr>
        <w:t>评价</w:t>
      </w:r>
      <w:r>
        <w:rPr>
          <w:rFonts w:hint="default" w:ascii="Times New Roman" w:hAnsi="Times New Roman" w:eastAsia="方正仿宋_GBK" w:cs="Times New Roman"/>
          <w:color w:val="000000"/>
          <w:sz w:val="32"/>
          <w:szCs w:val="32"/>
        </w:rPr>
        <w:t>认证的企业应按所申请产品种类，提供符合本认证技术规范要求的产品检验报告，企业对检验报告真实性负责。</w:t>
      </w:r>
    </w:p>
    <w:p>
      <w:r>
        <w:rPr>
          <w:rFonts w:hint="default" w:ascii="Times New Roman" w:hAnsi="Times New Roman" w:eastAsia="方正仿宋_GBK" w:cs="Times New Roman"/>
          <w:color w:val="000000"/>
          <w:sz w:val="32"/>
          <w:szCs w:val="32"/>
        </w:rPr>
        <w:t>检验项目应符合本认证技术规范要求，对应检测方法可采用适用的国家标准、行业标准、地方标准等及国务院卫生行政部门的相关公告方法。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01366086"/>
    <w:rsid w:val="01366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adjustRightInd w:val="0"/>
      <w:spacing w:line="400" w:lineRule="exact"/>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2023-10-19T03:39:00Z</dcterms:created>
  <dc:creator>叶菲</dc:creator>
  <cp:lastModifiedBy>叶菲</cp:lastModifiedBy>
  <dcterms:modified xsi:type="dcterms:W3CDTF">2023-10-19T03:40:30Z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B82BE448BEDA43CEB019D5BC534BD9BD_11</vt:lpwstr>
  </property>
</Properties>
</file>