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eastAsia="zh-CN"/>
        </w:rPr>
        <w:t>附件</w:t>
      </w:r>
      <w:r>
        <w:rPr>
          <w:rFonts w:hint="eastAsia" w:ascii="方正黑体_GBK" w:hAnsi="方正黑体_GBK" w:eastAsia="方正黑体_GBK" w:cs="方正黑体_GBK"/>
          <w:b w:val="0"/>
          <w:bCs/>
          <w:sz w:val="32"/>
          <w:szCs w:val="32"/>
          <w:lang w:val="en-US" w:eastAsia="zh-CN"/>
        </w:rPr>
        <w:t>7</w:t>
      </w:r>
    </w:p>
    <w:p>
      <w:pPr>
        <w:spacing w:line="600" w:lineRule="exact"/>
        <w:jc w:val="center"/>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lang w:eastAsia="zh-CN"/>
        </w:rPr>
        <w:t>广州市</w:t>
      </w:r>
      <w:r>
        <w:rPr>
          <w:rFonts w:hint="eastAsia" w:ascii="方正小标宋_GBK" w:hAnsi="方正小标宋_GBK" w:eastAsia="方正小标宋_GBK" w:cs="方正小标宋_GBK"/>
          <w:b w:val="0"/>
          <w:bCs/>
          <w:sz w:val="44"/>
          <w:szCs w:val="44"/>
        </w:rPr>
        <w:t>“食在广州”</w:t>
      </w:r>
      <w:r>
        <w:rPr>
          <w:rFonts w:hint="eastAsia" w:ascii="方正小标宋_GBK" w:hAnsi="方正小标宋_GBK" w:eastAsia="方正小标宋_GBK" w:cs="方正小标宋_GBK"/>
          <w:b w:val="0"/>
          <w:bCs/>
          <w:sz w:val="44"/>
          <w:szCs w:val="44"/>
          <w:lang w:eastAsia="zh-CN"/>
        </w:rPr>
        <w:t>评价</w:t>
      </w:r>
      <w:r>
        <w:rPr>
          <w:rFonts w:hint="eastAsia" w:ascii="方正小标宋_GBK" w:hAnsi="方正小标宋_GBK" w:eastAsia="方正小标宋_GBK" w:cs="方正小标宋_GBK"/>
          <w:b w:val="0"/>
          <w:bCs/>
          <w:sz w:val="44"/>
          <w:szCs w:val="44"/>
        </w:rPr>
        <w:t>认证技术规范</w:t>
      </w:r>
    </w:p>
    <w:p>
      <w:pPr>
        <w:spacing w:line="600" w:lineRule="exact"/>
        <w:jc w:val="center"/>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（预包装食品</w:t>
      </w:r>
      <w:r>
        <w:rPr>
          <w:rFonts w:hint="eastAsia" w:ascii="方正楷体_GBK" w:hAnsi="方正楷体_GBK" w:eastAsia="方正楷体_GBK" w:cs="方正楷体_GBK"/>
          <w:b w:val="0"/>
          <w:bCs/>
          <w:sz w:val="32"/>
          <w:szCs w:val="32"/>
          <w:lang w:val="en-US" w:eastAsia="zh-CN"/>
        </w:rPr>
        <w:t>类</w:t>
      </w:r>
      <w:r>
        <w:rPr>
          <w:rFonts w:hint="eastAsia" w:ascii="方正楷体_GBK" w:hAnsi="方正楷体_GBK" w:eastAsia="方正楷体_GBK" w:cs="方正楷体_GBK"/>
          <w:b w:val="0"/>
          <w:bCs/>
          <w:sz w:val="32"/>
          <w:szCs w:val="32"/>
        </w:rPr>
        <w:t>：腌腊肉制品）</w:t>
      </w:r>
    </w:p>
    <w:bookmarkEnd w:id="0"/>
    <w:p>
      <w:pPr>
        <w:adjustRightInd w:val="0"/>
        <w:snapToGrid w:val="0"/>
        <w:spacing w:line="600" w:lineRule="exact"/>
        <w:jc w:val="center"/>
        <w:rPr>
          <w:rFonts w:eastAsia="仿宋_GB2312"/>
          <w:b/>
          <w:sz w:val="36"/>
          <w:szCs w:val="36"/>
        </w:rPr>
      </w:pPr>
    </w:p>
    <w:p>
      <w:pPr>
        <w:tabs>
          <w:tab w:val="left" w:pos="3066"/>
        </w:tabs>
        <w:adjustRightInd w:val="0"/>
        <w:snapToGrid w:val="0"/>
        <w:spacing w:line="600" w:lineRule="exact"/>
        <w:ind w:firstLine="640" w:firstLineChars="20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一、认证产品范围</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认证的腌腊肉制品，是指以畜、禽产品为主要原料，经腌制、烘干、晒干、风干等工艺加工制作的非即食肉制品。包括：腌腊肉灌制品、腊肉制品、火腿制品、其他腌腊肉制品。</w:t>
      </w:r>
    </w:p>
    <w:p>
      <w:pPr>
        <w:tabs>
          <w:tab w:val="left" w:pos="3066"/>
        </w:tabs>
        <w:adjustRightInd w:val="0"/>
        <w:snapToGrid w:val="0"/>
        <w:spacing w:line="600" w:lineRule="exact"/>
        <w:ind w:firstLine="640" w:firstLineChars="200"/>
        <w:rPr>
          <w:rFonts w:hint="default" w:ascii="方正黑体_GBK" w:hAnsi="方正黑体_GBK" w:eastAsia="方正黑体_GBK" w:cs="方正黑体_GBK"/>
          <w:b w:val="0"/>
          <w:bCs w:val="0"/>
          <w:sz w:val="32"/>
          <w:szCs w:val="32"/>
        </w:rPr>
      </w:pPr>
      <w:r>
        <w:rPr>
          <w:rFonts w:hint="default" w:ascii="方正黑体_GBK" w:hAnsi="方正黑体_GBK" w:eastAsia="方正黑体_GBK" w:cs="方正黑体_GBK"/>
          <w:b w:val="0"/>
          <w:bCs w:val="0"/>
          <w:sz w:val="32"/>
          <w:szCs w:val="32"/>
        </w:rPr>
        <w:t>二、认证相关标准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GB 2707  食品安全国家标准  鲜（冻）畜、禽产品 </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2730  食品安全国家标准  腌腊肉制品</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2760  食品安全国家标准  食品添加剂使用标准</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2761  食品安全国家标准  食品中真菌毒素限量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2763  食品安全国家标准  食品中农药最大残留限量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14881  食品安全国家标准  食品生产通用卫生规范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20799  食品安全国家标准  肉和肉制品经营卫生规范</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31650  食品安全国家标准  食品中兽药最大残留限量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GB 31650.1  食品安全国家标准  食品中41种兽药最大残留限量》</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产品明示标准和质量要求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相关的法律法规、部门规章和规定</w:t>
      </w:r>
    </w:p>
    <w:p>
      <w:pPr>
        <w:spacing w:line="60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三、认证产品要求</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3.1  产品要求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认证的腌腊肉产品应以当地传统生产工艺为传承，具有地方特色风味，或可体现广府文化特色，或品质优良，可代表广州品牌形象的预包装腌腊肉食品。</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3.2  企业要求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申请腌腊肉产品“食在广州”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3.3  原辅料要求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腌腊肉产品的原辅料需符合国家强制性标准及其执行标准的要求。使用的畜禽肉应经兽医卫生检验检疫，并有合格证明。猪肉须选用生猪定点屠宰企业的产品。进口原料肉须提供出入境检验检疫部门的合格证明材料。不得使用非经屠宰死亡的畜禽肉及非食用性原料。在满足生产工艺需求下，各原辅料原则上符合最优质量等级要求。</w:t>
      </w:r>
    </w:p>
    <w:p>
      <w:pPr>
        <w:adjustRightInd w:val="0"/>
        <w:snapToGrid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影响特色风味的关键原辅料鲜（冻）畜、禽肉应符合表1及以下要求。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猪精肉：分割肌肉保持完整，表层脂肪修净；无骨头、伤斑、出血点、血污、病变、骨渣、骨刺、骨膜、筋头、淋巴结、脓疱、浮毛、筋皮及其他杂质；有自然光泽，无淤血、无油膘、霉点或异色污点；肌肉呈自然红色，无发白、发黄或暗色；脂肪呈乳白色。</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猪肥膘：需为硬膘（脊膘），不得使用软膘；需修净红肉，无毛渣、毛块、皮块、浮毛、血膘、肚腩肉、筋膜、软膘、骨头、病变等杂质；呈乳白色，有自然光泽，无淤血、血斑、霉点或异色污点。</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猪中方肉：四边整齐，无膘囊、伤斑、病变、出血点、碎骨、血污、淋巴结、脓疱、浮毛、毛渣等杂质，无刀痕，内侧无板油脂；去骨中方肉骨的去除方法为“剔除”，不伤肋间肌肉，去胸软骨，形状上需保留有原有肋骨剔除后的凹槽，不采购肋骨与肋骨之间精肉连片切除的中方肉；有自然光泽；肌肉呈自然红色，无发白、发黄或暗色；脂肪呈乳白色，无淤血、霉点或异色污点</w:t>
      </w:r>
    </w:p>
    <w:p>
      <w:pPr>
        <w:adjustRightInd w:val="0"/>
        <w:snapToGrid w:val="0"/>
        <w:spacing w:line="300" w:lineRule="auto"/>
        <w:jc w:val="center"/>
        <w:rPr>
          <w:rFonts w:hint="default" w:ascii="Times New Roman" w:hAnsi="Times New Roman" w:eastAsia="方正仿宋_GBK" w:cs="Times New Roman"/>
          <w:color w:val="FF0000"/>
          <w:sz w:val="28"/>
          <w:szCs w:val="28"/>
        </w:rPr>
      </w:pPr>
      <w:r>
        <w:rPr>
          <w:rFonts w:hint="default" w:ascii="Times New Roman" w:hAnsi="Times New Roman" w:eastAsia="方正仿宋_GBK" w:cs="Times New Roman"/>
          <w:sz w:val="28"/>
          <w:szCs w:val="28"/>
        </w:rPr>
        <w:t>表1 兽药残留限量要求</w:t>
      </w:r>
    </w:p>
    <w:tbl>
      <w:tblPr>
        <w:tblStyle w:val="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65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184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原料类别</w:t>
            </w: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指标要求（μg/kg）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restart"/>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猪肉</w:t>
            </w: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五氯酚酸钠（以五氯酚计）</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磺胺类(总量)</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氯霉素</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恩诺沙星</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restart"/>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鸡肉、鸭肉</w:t>
            </w: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尼卡巴嗪</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甲氧苄啶</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恩诺沙星</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五氯酚酸钠（以五氯酚计）</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不得使用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365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氯霉素</w:t>
            </w:r>
          </w:p>
        </w:tc>
        <w:tc>
          <w:tcPr>
            <w:tcW w:w="2945"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不得使用</w:t>
            </w:r>
          </w:p>
        </w:tc>
      </w:tr>
    </w:tbl>
    <w:p>
      <w:pPr>
        <w:adjustRightInd w:val="0"/>
        <w:snapToGrid w:val="0"/>
        <w:spacing w:line="360" w:lineRule="auto"/>
        <w:ind w:firstLine="640" w:firstLineChars="200"/>
        <w:rPr>
          <w:rFonts w:hint="default" w:ascii="Times New Roman" w:hAnsi="Times New Roman" w:eastAsia="方正仿宋_GBK" w:cs="Times New Roman"/>
          <w:sz w:val="32"/>
          <w:szCs w:val="32"/>
        </w:rPr>
      </w:pP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3.4  生产工艺要求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认证产品的生产工艺应采用当地传统工艺，体现地方文化特色，其生产设备、生产环境卫生标准、生产工艺流程等应同时符合国家相关法律法规的要求。如：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广式腊肠：以广东地区制作工艺和风味特色为代表的生干腊肠。以以鲜（冻）肉为原料，加入食用盐、白砂糖、酱油、高度白酒等辅料，经腌制、灌肠、晾晒、烘烤等工序加工而成。产品生产中添加糖、酒，呈现“糖酒风味”。其中特级和优级广式腊肠仅使用猪肉为原料，不外加外源蛋白及禽肉，不添加淀粉；普通级广式腊肠不允许添加禽肉，允许添加其它外源蛋白（非肉类蛋白质），外源蛋白添加量≤3%。</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广式腊肉：以广东地区制作工艺和风味特色为代表的生干腊肉。以鲜（冻）猪肉的中方肉为主料，加入食用盐、白砂糖、酱油、高度白酒，添加或不添加添加剂，经腌制、烘焙而制成。产品生产中添加糖、酒，呈现“糖酒风味”。产品生产中添加糖、酒，呈现“糖酒风味”。</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其他腌腊肉制品：以广东地区工艺制作，具有广式风味特色的其他腌腊肉制品。</w:t>
      </w:r>
    </w:p>
    <w:p>
      <w:pPr>
        <w:spacing w:line="600" w:lineRule="exact"/>
        <w:ind w:firstLine="643"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3.5 产品品质要求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认证的腌腊肉制品产品应具备当地风味和口感特色，品质应符合或优于下列要求。</w:t>
      </w:r>
    </w:p>
    <w:p>
      <w:pPr>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3.5.1 感官指标要求</w:t>
      </w:r>
    </w:p>
    <w:p>
      <w:pPr>
        <w:spacing w:line="600" w:lineRule="exact"/>
        <w:ind w:firstLine="64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32"/>
          <w:szCs w:val="32"/>
        </w:rPr>
        <w:t>感官指标应符合表</w:t>
      </w:r>
      <w:r>
        <w:rPr>
          <w:rFonts w:hint="eastAsia" w:ascii="Times New Roman" w:hAnsi="Times New Roman" w:eastAsia="方正仿宋_GBK" w:cs="Times New Roman"/>
          <w:sz w:val="28"/>
          <w:szCs w:val="28"/>
          <w:lang w:eastAsia="zh-CN"/>
        </w:rPr>
        <w:t>2</w:t>
      </w:r>
      <w:r>
        <w:rPr>
          <w:rFonts w:hint="default" w:ascii="Times New Roman" w:hAnsi="Times New Roman" w:eastAsia="方正仿宋_GBK" w:cs="Times New Roman"/>
          <w:sz w:val="28"/>
          <w:szCs w:val="28"/>
        </w:rPr>
        <w:t>要求。</w:t>
      </w:r>
    </w:p>
    <w:p>
      <w:pPr>
        <w:adjustRightInd w:val="0"/>
        <w:snapToGrid w:val="0"/>
        <w:spacing w:line="300" w:lineRule="auto"/>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表</w:t>
      </w:r>
      <w:r>
        <w:rPr>
          <w:rFonts w:hint="eastAsia" w:ascii="Times New Roman" w:hAnsi="Times New Roman" w:eastAsia="方正仿宋_GBK" w:cs="Times New Roman"/>
          <w:sz w:val="28"/>
          <w:szCs w:val="28"/>
          <w:lang w:eastAsia="zh-CN"/>
        </w:rPr>
        <w:t>2</w:t>
      </w:r>
      <w:r>
        <w:rPr>
          <w:rFonts w:hint="default" w:ascii="Times New Roman" w:hAnsi="Times New Roman" w:eastAsia="方正仿宋_GBK" w:cs="Times New Roman"/>
          <w:sz w:val="28"/>
          <w:szCs w:val="28"/>
        </w:rPr>
        <w:t>感官指标要求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1"/>
        <w:gridCol w:w="1966"/>
        <w:gridCol w:w="1966"/>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421" w:type="dxa"/>
            <w:vMerge w:val="restart"/>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w:t>
            </w:r>
          </w:p>
        </w:tc>
        <w:tc>
          <w:tcPr>
            <w:tcW w:w="5898" w:type="dxa"/>
            <w:gridSpan w:val="3"/>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421"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腊肠制品</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腊肉制品</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腊禽制品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色泽</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肥肉呈乳白色，瘦肉鲜红、枣红或玫瑰红色，红白分明，有光泽，无黏液，无霉点</w:t>
            </w:r>
          </w:p>
        </w:tc>
        <w:tc>
          <w:tcPr>
            <w:tcW w:w="1966" w:type="dxa"/>
            <w:noWrap w:val="0"/>
            <w:vAlign w:val="center"/>
          </w:tcPr>
          <w:p>
            <w:pPr>
              <w:widowControl/>
              <w:jc w:val="center"/>
              <w:textAlignment w:val="center"/>
              <w:rPr>
                <w:rFonts w:hint="default" w:ascii="Times New Roman" w:hAnsi="Times New Roman" w:eastAsia="方正仿宋_GBK" w:cs="Times New Roman"/>
                <w:sz w:val="28"/>
                <w:szCs w:val="28"/>
                <w:highlight w:val="yellow"/>
              </w:rPr>
            </w:pPr>
            <w:r>
              <w:rPr>
                <w:rFonts w:hint="default" w:ascii="Times New Roman" w:hAnsi="Times New Roman" w:eastAsia="方正仿宋_GBK" w:cs="Times New Roman"/>
                <w:sz w:val="28"/>
                <w:szCs w:val="28"/>
              </w:rPr>
              <w:t>肥肉呈浅金黄色，瘦肉枣红色或褐红色，肥瘦层次分明，鲜明光润，无黏液、无霉点</w:t>
            </w:r>
          </w:p>
        </w:tc>
        <w:tc>
          <w:tcPr>
            <w:tcW w:w="1966"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具有该种产品应有的色泽，无黏液、无霉点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滋味和气味</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咸、甜适中，具有糖、酒与肉混合后的醇正腊香味，无异味、无酸败味</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具有产品本身固有的风味，腊香醇正、无酸败及其它异味</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具有该产品独特的香味，无酸败及其它异味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性状</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肠体干爽，呈完整的圆柱形，表面有自然皱纹，断面组织紧密</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肉条均匀，肉身干爽、结实：肥瘦层次分明，紧贴完整</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外形完整，表面干洁，无虫蚀：切面紧密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color w:val="000000"/>
                <w:kern w:val="0"/>
                <w:sz w:val="28"/>
                <w:szCs w:val="28"/>
                <w:lang w:bidi="ar"/>
              </w:rPr>
            </w:pPr>
            <w:r>
              <w:rPr>
                <w:rFonts w:hint="default" w:ascii="Times New Roman" w:hAnsi="Times New Roman" w:eastAsia="方正仿宋_GBK" w:cs="Times New Roman"/>
                <w:color w:val="000000"/>
                <w:kern w:val="0"/>
                <w:sz w:val="28"/>
                <w:szCs w:val="28"/>
                <w:lang w:bidi="ar"/>
              </w:rPr>
              <w:t>杂质</w:t>
            </w:r>
          </w:p>
        </w:tc>
        <w:tc>
          <w:tcPr>
            <w:tcW w:w="5898" w:type="dxa"/>
            <w:gridSpan w:val="3"/>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无肉眼可见的杂质</w:t>
            </w:r>
          </w:p>
        </w:tc>
      </w:tr>
    </w:tbl>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3.5.2 品质理化指标要求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品质理化指标应符合表</w:t>
      </w:r>
      <w:r>
        <w:rPr>
          <w:rFonts w:hint="eastAsia" w:ascii="Times New Roman" w:hAnsi="Times New Roman" w:eastAsia="方正仿宋_GBK" w:cs="Times New Roman"/>
          <w:sz w:val="32"/>
          <w:szCs w:val="32"/>
          <w:lang w:eastAsia="zh-CN"/>
        </w:rPr>
        <w:t>3</w:t>
      </w:r>
      <w:r>
        <w:rPr>
          <w:rFonts w:hint="default" w:ascii="Times New Roman" w:hAnsi="Times New Roman" w:eastAsia="方正仿宋_GBK" w:cs="Times New Roman"/>
          <w:sz w:val="32"/>
          <w:szCs w:val="32"/>
        </w:rPr>
        <w:t>要求。</w:t>
      </w: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spacing w:line="600" w:lineRule="exact"/>
        <w:ind w:firstLine="640" w:firstLineChars="200"/>
        <w:rPr>
          <w:rFonts w:hint="default" w:ascii="Times New Roman" w:hAnsi="Times New Roman" w:eastAsia="方正仿宋_GBK" w:cs="Times New Roman"/>
          <w:sz w:val="32"/>
          <w:szCs w:val="32"/>
        </w:rPr>
      </w:pPr>
    </w:p>
    <w:p>
      <w:pPr>
        <w:adjustRightInd w:val="0"/>
        <w:snapToGrid w:val="0"/>
        <w:spacing w:line="300" w:lineRule="auto"/>
        <w:jc w:val="center"/>
        <w:rPr>
          <w:rFonts w:hint="default" w:ascii="Times New Roman" w:hAnsi="Times New Roman" w:eastAsia="方正仿宋_GBK" w:cs="Times New Roman"/>
          <w:b/>
          <w:bCs/>
          <w:sz w:val="28"/>
          <w:szCs w:val="28"/>
        </w:rPr>
      </w:pPr>
      <w:r>
        <w:rPr>
          <w:rFonts w:hint="default" w:ascii="Times New Roman" w:hAnsi="Times New Roman" w:eastAsia="方正仿宋_GBK" w:cs="Times New Roman"/>
          <w:sz w:val="28"/>
          <w:szCs w:val="28"/>
        </w:rPr>
        <w:t>表</w:t>
      </w:r>
      <w:r>
        <w:rPr>
          <w:rFonts w:hint="eastAsia" w:ascii="Times New Roman" w:hAnsi="Times New Roman" w:eastAsia="方正仿宋_GBK" w:cs="Times New Roman"/>
          <w:sz w:val="28"/>
          <w:szCs w:val="28"/>
          <w:lang w:eastAsia="zh-CN"/>
        </w:rPr>
        <w:t>3</w:t>
      </w:r>
      <w:r>
        <w:rPr>
          <w:rFonts w:hint="default" w:ascii="Times New Roman" w:hAnsi="Times New Roman" w:eastAsia="方正仿宋_GBK" w:cs="Times New Roman"/>
          <w:sz w:val="28"/>
          <w:szCs w:val="28"/>
        </w:rPr>
        <w:t>品质理化指标要求</w:t>
      </w:r>
    </w:p>
    <w:tbl>
      <w:tblPr>
        <w:tblStyle w:val="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9"/>
        <w:gridCol w:w="2144"/>
        <w:gridCol w:w="2144"/>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421" w:type="dxa"/>
            <w:vMerge w:val="restart"/>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w:t>
            </w:r>
          </w:p>
        </w:tc>
        <w:tc>
          <w:tcPr>
            <w:tcW w:w="5898" w:type="dxa"/>
            <w:gridSpan w:val="3"/>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2421"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腊肠制品</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腊肉制品</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腊禽制品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过氧化值（g/100g）  ≤</w:t>
            </w:r>
          </w:p>
        </w:tc>
        <w:tc>
          <w:tcPr>
            <w:tcW w:w="1966"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0.4</w:t>
            </w:r>
          </w:p>
        </w:tc>
        <w:tc>
          <w:tcPr>
            <w:tcW w:w="1966"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0.4</w:t>
            </w:r>
          </w:p>
        </w:tc>
        <w:tc>
          <w:tcPr>
            <w:tcW w:w="1966"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蛋白质/(g/100g)    ≥</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22.0（特级）</w:t>
            </w:r>
          </w:p>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18.0（优级）</w:t>
            </w:r>
          </w:p>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14.0（普通级）</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kern w:val="0"/>
                <w:sz w:val="28"/>
                <w:szCs w:val="28"/>
                <w:lang w:bidi="ar"/>
              </w:rPr>
              <w:t>脂肪/(g/100g)      ≤</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35.0（特级）</w:t>
            </w:r>
          </w:p>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45.0（优级）</w:t>
            </w:r>
          </w:p>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52.0（普通级）</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70</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水分/(g/100g)      ≤</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28.0（特级、优级）</w:t>
            </w:r>
          </w:p>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38.0（普通级）</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氯化物（以氯化钠计）/(g/100g)          ≤</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6.5</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2421" w:type="dxa"/>
            <w:noWrap w:val="0"/>
            <w:vAlign w:val="center"/>
          </w:tcPr>
          <w:p>
            <w:pPr>
              <w:adjustRightInd w:val="0"/>
              <w:snapToGrid w:val="0"/>
              <w:jc w:val="left"/>
              <w:rPr>
                <w:rFonts w:hint="default" w:ascii="Times New Roman" w:hAnsi="Times New Roman" w:eastAsia="方正仿宋_GBK" w:cs="Times New Roman"/>
                <w:kern w:val="0"/>
                <w:sz w:val="28"/>
                <w:szCs w:val="28"/>
                <w:lang w:bidi="ar"/>
              </w:rPr>
            </w:pPr>
            <w:r>
              <w:rPr>
                <w:rFonts w:hint="default" w:ascii="Times New Roman" w:hAnsi="Times New Roman" w:eastAsia="方正仿宋_GBK" w:cs="Times New Roman"/>
                <w:kern w:val="0"/>
                <w:sz w:val="28"/>
                <w:szCs w:val="28"/>
                <w:lang w:bidi="ar"/>
              </w:rPr>
              <w:t>总糖（以葡萄糖计）/(g/100g)          ≤</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22</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w:t>
            </w:r>
          </w:p>
        </w:tc>
        <w:tc>
          <w:tcPr>
            <w:tcW w:w="1966"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25</w:t>
            </w:r>
          </w:p>
        </w:tc>
      </w:tr>
    </w:tbl>
    <w:p>
      <w:pPr>
        <w:adjustRightInd w:val="0"/>
        <w:snapToGrid w:val="0"/>
        <w:spacing w:line="300" w:lineRule="auto"/>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3.5.3 污染物指标要求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污染物指标应符合表</w:t>
      </w:r>
      <w:r>
        <w:rPr>
          <w:rFonts w:hint="eastAsia" w:ascii="Times New Roman" w:hAnsi="Times New Roman" w:eastAsia="方正仿宋_GBK" w:cs="Times New Roman"/>
          <w:sz w:val="32"/>
          <w:szCs w:val="32"/>
          <w:lang w:eastAsia="zh-CN"/>
        </w:rPr>
        <w:t>4</w:t>
      </w:r>
      <w:r>
        <w:rPr>
          <w:rFonts w:hint="default" w:ascii="Times New Roman" w:hAnsi="Times New Roman" w:eastAsia="方正仿宋_GBK" w:cs="Times New Roman"/>
          <w:sz w:val="32"/>
          <w:szCs w:val="32"/>
        </w:rPr>
        <w:t>要求。</w:t>
      </w:r>
    </w:p>
    <w:p>
      <w:pPr>
        <w:adjustRightInd w:val="0"/>
        <w:snapToGrid w:val="0"/>
        <w:spacing w:line="300" w:lineRule="auto"/>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表</w:t>
      </w:r>
      <w:r>
        <w:rPr>
          <w:rFonts w:hint="eastAsia" w:ascii="Times New Roman" w:hAnsi="Times New Roman" w:eastAsia="方正仿宋_GBK" w:cs="Times New Roman"/>
          <w:sz w:val="28"/>
          <w:szCs w:val="28"/>
          <w:lang w:eastAsia="zh-CN"/>
        </w:rPr>
        <w:t>4</w:t>
      </w:r>
      <w:r>
        <w:rPr>
          <w:rFonts w:hint="default" w:ascii="Times New Roman" w:hAnsi="Times New Roman" w:eastAsia="方正仿宋_GBK" w:cs="Times New Roman"/>
          <w:sz w:val="28"/>
          <w:szCs w:val="28"/>
        </w:rPr>
        <w:t>污染物指标要求</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3"/>
        <w:gridCol w:w="1693"/>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983" w:type="dxa"/>
            <w:vMerge w:val="restart"/>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项目</w:t>
            </w:r>
          </w:p>
        </w:tc>
        <w:tc>
          <w:tcPr>
            <w:tcW w:w="5079" w:type="dxa"/>
            <w:gridSpan w:val="3"/>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2983" w:type="dxa"/>
            <w:vMerge w:val="continue"/>
            <w:noWrap w:val="0"/>
            <w:vAlign w:val="center"/>
          </w:tcPr>
          <w:p>
            <w:pPr>
              <w:adjustRightInd w:val="0"/>
              <w:snapToGrid w:val="0"/>
              <w:jc w:val="center"/>
              <w:rPr>
                <w:rFonts w:hint="default" w:ascii="Times New Roman" w:hAnsi="Times New Roman" w:eastAsia="方正仿宋_GBK" w:cs="Times New Roman"/>
                <w:sz w:val="28"/>
                <w:szCs w:val="28"/>
              </w:rPr>
            </w:pP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腊肠制品</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腊肉制品</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腊禽制品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N-二甲基亚硝胺（μg/kg）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3.0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3.0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铅（mg/kg）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0.3</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0.3</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总砷（以As计）（mg/kg）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0.5</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0.5</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3"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镉（</w:t>
            </w:r>
            <w:r>
              <w:rPr>
                <w:rStyle w:val="4"/>
                <w:rFonts w:hint="default" w:ascii="Times New Roman" w:hAnsi="Times New Roman" w:eastAsia="方正仿宋_GBK" w:cs="Times New Roman"/>
                <w:sz w:val="28"/>
                <w:szCs w:val="28"/>
                <w:lang w:bidi="ar"/>
              </w:rPr>
              <w:t>mg/kg</w:t>
            </w:r>
            <w:r>
              <w:rPr>
                <w:rFonts w:hint="default" w:ascii="Times New Roman" w:hAnsi="Times New Roman" w:eastAsia="方正仿宋_GBK" w:cs="Times New Roman"/>
                <w:color w:val="000000"/>
                <w:kern w:val="0"/>
                <w:sz w:val="28"/>
                <w:szCs w:val="28"/>
                <w:lang w:bidi="ar"/>
              </w:rPr>
              <w:t xml:space="preserve">）             </w:t>
            </w:r>
            <w:r>
              <w:rPr>
                <w:rStyle w:val="4"/>
                <w:rFonts w:hint="default" w:ascii="Times New Roman" w:hAnsi="Times New Roman" w:eastAsia="方正仿宋_GBK" w:cs="Times New Roman"/>
                <w:sz w:val="28"/>
                <w:szCs w:val="28"/>
                <w:lang w:bidi="ar"/>
              </w:rPr>
              <w:t>≤</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0.1</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0.1</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3"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铬（</w:t>
            </w:r>
            <w:r>
              <w:rPr>
                <w:rStyle w:val="4"/>
                <w:rFonts w:hint="default" w:ascii="Times New Roman" w:hAnsi="Times New Roman" w:eastAsia="方正仿宋_GBK" w:cs="Times New Roman"/>
                <w:sz w:val="28"/>
                <w:szCs w:val="28"/>
                <w:lang w:bidi="ar"/>
              </w:rPr>
              <w:t>mg/kg</w:t>
            </w:r>
            <w:r>
              <w:rPr>
                <w:rFonts w:hint="default" w:ascii="Times New Roman" w:hAnsi="Times New Roman" w:eastAsia="方正仿宋_GBK" w:cs="Times New Roman"/>
                <w:color w:val="000000"/>
                <w:kern w:val="0"/>
                <w:sz w:val="28"/>
                <w:szCs w:val="28"/>
                <w:lang w:bidi="ar"/>
              </w:rPr>
              <w:t xml:space="preserve">）             </w:t>
            </w:r>
            <w:r>
              <w:rPr>
                <w:rStyle w:val="4"/>
                <w:rFonts w:hint="default" w:ascii="Times New Roman" w:hAnsi="Times New Roman" w:eastAsia="方正仿宋_GBK" w:cs="Times New Roman"/>
                <w:sz w:val="28"/>
                <w:szCs w:val="28"/>
                <w:lang w:bidi="ar"/>
              </w:rPr>
              <w:t>≤</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1.0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1.0 </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3" w:type="dxa"/>
            <w:noWrap w:val="0"/>
            <w:vAlign w:val="center"/>
          </w:tcPr>
          <w:p>
            <w:pPr>
              <w:widowControl/>
              <w:jc w:val="center"/>
              <w:textAlignment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color w:val="000000"/>
                <w:kern w:val="0"/>
                <w:sz w:val="28"/>
                <w:szCs w:val="28"/>
                <w:lang w:bidi="ar"/>
              </w:rPr>
              <w:t>总汞（以</w:t>
            </w:r>
            <w:r>
              <w:rPr>
                <w:rStyle w:val="4"/>
                <w:rFonts w:hint="default" w:ascii="Times New Roman" w:hAnsi="Times New Roman" w:eastAsia="方正仿宋_GBK" w:cs="Times New Roman"/>
                <w:sz w:val="28"/>
                <w:szCs w:val="28"/>
                <w:lang w:bidi="ar"/>
              </w:rPr>
              <w:t>Hg</w:t>
            </w:r>
            <w:r>
              <w:rPr>
                <w:rFonts w:hint="default" w:ascii="Times New Roman" w:hAnsi="Times New Roman" w:eastAsia="方正仿宋_GBK" w:cs="Times New Roman"/>
                <w:color w:val="000000"/>
                <w:kern w:val="0"/>
                <w:sz w:val="28"/>
                <w:szCs w:val="28"/>
                <w:lang w:bidi="ar"/>
              </w:rPr>
              <w:t>计）（</w:t>
            </w:r>
            <w:r>
              <w:rPr>
                <w:rStyle w:val="4"/>
                <w:rFonts w:hint="default" w:ascii="Times New Roman" w:hAnsi="Times New Roman" w:eastAsia="方正仿宋_GBK" w:cs="Times New Roman"/>
                <w:sz w:val="28"/>
                <w:szCs w:val="28"/>
                <w:lang w:bidi="ar"/>
              </w:rPr>
              <w:t>mg/kg</w:t>
            </w:r>
            <w:r>
              <w:rPr>
                <w:rFonts w:hint="default" w:ascii="Times New Roman" w:hAnsi="Times New Roman" w:eastAsia="方正仿宋_GBK" w:cs="Times New Roman"/>
                <w:color w:val="000000"/>
                <w:kern w:val="0"/>
                <w:sz w:val="28"/>
                <w:szCs w:val="28"/>
                <w:lang w:bidi="ar"/>
              </w:rPr>
              <w:t>）</w:t>
            </w:r>
            <w:r>
              <w:rPr>
                <w:rStyle w:val="4"/>
                <w:rFonts w:hint="default" w:ascii="Times New Roman" w:hAnsi="Times New Roman" w:eastAsia="方正仿宋_GBK" w:cs="Times New Roman"/>
                <w:sz w:val="28"/>
                <w:szCs w:val="28"/>
                <w:lang w:bidi="ar"/>
              </w:rPr>
              <w:t>≤</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0.05</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0.05</w:t>
            </w:r>
          </w:p>
        </w:tc>
        <w:tc>
          <w:tcPr>
            <w:tcW w:w="1693" w:type="dxa"/>
            <w:noWrap w:val="0"/>
            <w:vAlign w:val="center"/>
          </w:tcPr>
          <w:p>
            <w:pPr>
              <w:adjustRightInd w:val="0"/>
              <w:snapToGrid w:val="0"/>
              <w:jc w:val="center"/>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0.05</w:t>
            </w:r>
          </w:p>
        </w:tc>
      </w:tr>
    </w:tbl>
    <w:p>
      <w:pPr>
        <w:adjustRightInd w:val="0"/>
        <w:snapToGrid w:val="0"/>
        <w:spacing w:line="600" w:lineRule="exact"/>
        <w:rPr>
          <w:rFonts w:hint="default" w:ascii="Times New Roman" w:hAnsi="Times New Roman" w:eastAsia="方正仿宋_GBK" w:cs="Times New Roman"/>
          <w:sz w:val="32"/>
          <w:szCs w:val="32"/>
        </w:rPr>
      </w:pPr>
    </w:p>
    <w:p>
      <w:pPr>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3.5.4 食品添加剂指标要求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食品添加剂使用应符合GB 2760的要求。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在满足生产工艺要求的前提下，申请“食在广州”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认证的腌腊肉制品产品应减少使用或不使用食品添加剂。</w:t>
      </w:r>
    </w:p>
    <w:p>
      <w:pPr>
        <w:spacing w:line="600" w:lineRule="exact"/>
        <w:ind w:firstLine="640" w:firstLineChars="20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四、产品检验要求</w:t>
      </w:r>
    </w:p>
    <w:p>
      <w:pPr>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申请腌腊肉产品“食在广州”</w:t>
      </w:r>
      <w:r>
        <w:rPr>
          <w:rFonts w:hint="default" w:ascii="Times New Roman" w:hAnsi="Times New Roman" w:eastAsia="方正仿宋_GBK" w:cs="Times New Roman"/>
          <w:sz w:val="32"/>
          <w:szCs w:val="32"/>
          <w:lang w:eastAsia="zh-CN"/>
        </w:rPr>
        <w:t>评价</w:t>
      </w:r>
      <w:r>
        <w:rPr>
          <w:rFonts w:hint="default" w:ascii="Times New Roman" w:hAnsi="Times New Roman" w:eastAsia="方正仿宋_GBK" w:cs="Times New Roman"/>
          <w:sz w:val="32"/>
          <w:szCs w:val="32"/>
        </w:rPr>
        <w:t>认证的企业应按所申请产品种类，提供符合本认证技术规范要求的产品检验报告，企业对检验报告真实性负责。</w:t>
      </w:r>
    </w:p>
    <w:p>
      <w:r>
        <w:rPr>
          <w:rFonts w:hint="default" w:ascii="Times New Roman" w:hAnsi="Times New Roman" w:eastAsia="方正仿宋_GBK" w:cs="Times New Roman"/>
          <w:sz w:val="32"/>
          <w:szCs w:val="32"/>
        </w:rPr>
        <w:t>检验项目应符合本认证技术规范要求，对应检测方法可采用适用的国家标准、行业标准、地方标准等及国务院卫生行政部门的相关公告方法。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3ZDhhMTNlYjdhYzYwN2ZlZjg0OTA4NGExOTcxNjAifQ=="/>
  </w:docVars>
  <w:rsids>
    <w:rsidRoot w:val="217D5B59"/>
    <w:rsid w:val="217D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2023-10-19T03:40:00Z</dcterms:created>
  <dc:creator>叶菲</dc:creator>
  <cp:lastModifiedBy>叶菲</cp:lastModifiedBy>
  <dcterms:modified xsi:type="dcterms:W3CDTF">2023-10-19T03:40:54Z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0121DD1D2844472E9C8B39FA07137B1F_11</vt:lpwstr>
  </property>
</Properties>
</file>